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51.png" ContentType="image/png"/>
  <Override PartName="/word/media/rId147.png" ContentType="image/png"/>
  <Override PartName="/word/media/rId143.png" ContentType="image/png"/>
  <Override PartName="/word/media/rId157.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February</w:t>
      </w:r>
      <w:r>
        <w:t xml:space="preserve"> </w:t>
      </w:r>
      <w:r>
        <w:t xml:space="preserve">10,</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LGBTQ+</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with</w:t>
      </w:r>
      <w:r>
        <w:t xml:space="preserve"> </w:t>
      </w:r>
      <w:r>
        <w:t xml:space="preserve">immigrants</w:t>
      </w:r>
      <w:r>
        <w:t xml:space="preserve"> </w:t>
      </w:r>
      <w:r>
        <w:t xml:space="preserve">being</w:t>
      </w:r>
      <w:r>
        <w:t xml:space="preserve"> </w:t>
      </w:r>
      <w:r>
        <w:t xml:space="preserve">particularly</w:t>
      </w:r>
      <w:r>
        <w:t xml:space="preserve"> </w:t>
      </w:r>
      <w:r>
        <w:t xml:space="preserve">affected.</w:t>
      </w:r>
      <w:r>
        <w:t xml:space="preserve"> </w:t>
      </w:r>
      <w:r>
        <w:t xml:space="preserve">After</w:t>
      </w:r>
      <w:r>
        <w:t xml:space="preserve"> </w:t>
      </w:r>
      <w:r>
        <w:t xml:space="preserve">the</w:t>
      </w:r>
      <w:r>
        <w:t xml:space="preserve"> </w:t>
      </w:r>
      <w:r>
        <w:t xml:space="preserve">2013</w:t>
      </w:r>
      <w:r>
        <w:t xml:space="preserve"> </w:t>
      </w:r>
      <w:r>
        <w:t xml:space="preserve">end</w:t>
      </w:r>
      <w:r>
        <w:t xml:space="preserve"> </w:t>
      </w:r>
      <w:r>
        <w:t xml:space="preserve">of</w:t>
      </w:r>
      <w:r>
        <w:t xml:space="preserve"> </w:t>
      </w:r>
      <w:r>
        <w:t xml:space="preserve">the</w:t>
      </w:r>
      <w:r>
        <w:t xml:space="preserve"> </w:t>
      </w:r>
      <w:r>
        <w:t xml:space="preserve">Defense</w:t>
      </w:r>
      <w:r>
        <w:t xml:space="preserve"> </w:t>
      </w:r>
      <w:r>
        <w:t xml:space="preserve">of</w:t>
      </w:r>
      <w:r>
        <w:t xml:space="preserve"> </w:t>
      </w:r>
      <w:r>
        <w:t xml:space="preserve">Marriage</w:t>
      </w:r>
      <w:r>
        <w:t xml:space="preserve"> </w:t>
      </w:r>
      <w:r>
        <w:t xml:space="preserve">Act,</w:t>
      </w:r>
      <w:r>
        <w:t xml:space="preserve"> </w:t>
      </w:r>
      <w:r>
        <w:t xml:space="preserve">U.S.</w:t>
      </w:r>
      <w:r>
        <w:t xml:space="preserve"> </w:t>
      </w:r>
      <w:r>
        <w:t xml:space="preserve">citizens</w:t>
      </w:r>
      <w:r>
        <w:t xml:space="preserve"> </w:t>
      </w:r>
      <w:r>
        <w:t xml:space="preserve">could</w:t>
      </w:r>
      <w:r>
        <w:t xml:space="preserve"> </w:t>
      </w:r>
      <w:r>
        <w:t xml:space="preserve">finally</w:t>
      </w:r>
      <w:r>
        <w:t xml:space="preserve"> </w:t>
      </w:r>
      <w:r>
        <w:t xml:space="preserve">sponsor</w:t>
      </w:r>
      <w:r>
        <w:t xml:space="preserve"> </w:t>
      </w:r>
      <w:r>
        <w:t xml:space="preserve">the</w:t>
      </w:r>
      <w:r>
        <w:t xml:space="preserve"> </w:t>
      </w:r>
      <w:r>
        <w:t xml:space="preserve">visa</w:t>
      </w:r>
      <w:r>
        <w:t xml:space="preserve"> </w:t>
      </w:r>
      <w:r>
        <w:t xml:space="preserve">of</w:t>
      </w:r>
      <w:r>
        <w:t xml:space="preserve"> </w:t>
      </w:r>
      <w:r>
        <w:t xml:space="preserve">a</w:t>
      </w:r>
      <w:r>
        <w:t xml:space="preserve"> </w:t>
      </w:r>
      <w:r>
        <w:t xml:space="preserve">same-sex</w:t>
      </w:r>
      <w:r>
        <w:t xml:space="preserve"> </w:t>
      </w:r>
      <w:r>
        <w:t xml:space="preserve">partner,</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LGBTQ+-friendly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response</w:t>
      </w:r>
      <w:r>
        <w:t xml:space="preserve"> </w:t>
      </w:r>
      <w:r>
        <w:t xml:space="preserve">to</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LGBTQ+</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2008-2022</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implements</w:t>
      </w:r>
      <w:r>
        <w:t xml:space="preserve"> </w:t>
      </w:r>
      <w:r>
        <w:t xml:space="preserve">descriptive</w:t>
      </w:r>
      <w:r>
        <w:t xml:space="preserve"> </w:t>
      </w:r>
      <w:r>
        <w:t xml:space="preserve">analyses</w:t>
      </w:r>
      <w:r>
        <w:t xml:space="preserve"> </w:t>
      </w:r>
      <w:r>
        <w:t xml:space="preserve">and</w:t>
      </w:r>
      <w:r>
        <w:t xml:space="preserve"> </w:t>
      </w:r>
      <w:r>
        <w:t xml:space="preserve">quasi-Poisson</w:t>
      </w:r>
      <w:r>
        <w:t xml:space="preserve"> </w:t>
      </w:r>
      <w:r>
        <w:t xml:space="preserve">models</w:t>
      </w:r>
      <w:r>
        <w:t xml:space="preserve"> </w:t>
      </w:r>
      <w:r>
        <w:t xml:space="preserve">to</w:t>
      </w:r>
      <w:r>
        <w:t xml:space="preserve"> </w:t>
      </w:r>
      <w:r>
        <w:t xml:space="preserve">study</w:t>
      </w:r>
      <w:r>
        <w:t xml:space="preserve"> </w:t>
      </w:r>
      <w:r>
        <w:t xml:space="preserve">how</w:t>
      </w:r>
      <w:r>
        <w:t xml:space="preserve"> </w:t>
      </w:r>
      <w:r>
        <w:t xml:space="preserve">settlement</w:t>
      </w:r>
      <w:r>
        <w:t xml:space="preserve"> </w:t>
      </w:r>
      <w:r>
        <w:t xml:space="preserve">patterns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respond</w:t>
      </w:r>
      <w:r>
        <w:t xml:space="preserve"> </w:t>
      </w:r>
      <w:r>
        <w:t xml:space="preserve">to</w:t>
      </w:r>
      <w:r>
        <w:t xml:space="preserve"> </w:t>
      </w:r>
      <w:r>
        <w:t xml:space="preserve">local</w:t>
      </w:r>
      <w:r>
        <w:t xml:space="preserve"> </w:t>
      </w:r>
      <w:r>
        <w:t xml:space="preserve">and</w:t>
      </w:r>
      <w:r>
        <w:t xml:space="preserve"> </w:t>
      </w:r>
      <w:r>
        <w:t xml:space="preserve">national</w:t>
      </w:r>
      <w:r>
        <w:t xml:space="preserve"> </w:t>
      </w:r>
      <w:r>
        <w:t xml:space="preserve">policy</w:t>
      </w:r>
      <w:r>
        <w:t xml:space="preserve"> </w:t>
      </w:r>
      <w:r>
        <w:t xml:space="preserve">changes</w:t>
      </w:r>
      <w:r>
        <w:t xml:space="preserve"> </w:t>
      </w:r>
      <w:r>
        <w:t xml:space="preserve">as</w:t>
      </w:r>
      <w:r>
        <w:t xml:space="preserve"> </w:t>
      </w:r>
      <w:r>
        <w:t xml:space="preserve">well</w:t>
      </w:r>
      <w:r>
        <w:t xml:space="preserve"> </w:t>
      </w:r>
      <w:r>
        <w:t xml:space="preserve">as</w:t>
      </w:r>
      <w:r>
        <w:t xml:space="preserve"> </w:t>
      </w:r>
      <w:r>
        <w:t xml:space="preserve">other</w:t>
      </w:r>
      <w:r>
        <w:t xml:space="preserve"> </w:t>
      </w:r>
      <w:r>
        <w:t xml:space="preserve">local</w:t>
      </w:r>
      <w:r>
        <w:t xml:space="preserve"> </w:t>
      </w:r>
      <w:r>
        <w:t xml:space="preserve">sociodemographic</w:t>
      </w:r>
      <w:r>
        <w:t xml:space="preserve"> </w:t>
      </w:r>
      <w:r>
        <w:t xml:space="preserve">and</w:t>
      </w:r>
      <w:r>
        <w:t xml:space="preserve"> </w:t>
      </w:r>
      <w:r>
        <w:t xml:space="preserve">economic</w:t>
      </w:r>
      <w:r>
        <w:t xml:space="preserve"> </w:t>
      </w:r>
      <w:r>
        <w:t xml:space="preserve">factors.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These</w:t>
      </w:r>
      <w:r>
        <w:t xml:space="preserve"> </w:t>
      </w:r>
      <w:r>
        <w:t xml:space="preserve">settlement</w:t>
      </w:r>
      <w:r>
        <w:t xml:space="preserve"> </w:t>
      </w:r>
      <w:r>
        <w:t xml:space="preserve">patterns</w:t>
      </w:r>
      <w:r>
        <w:t xml:space="preserve"> </w:t>
      </w:r>
      <w:r>
        <w:t xml:space="preserve">generally</w:t>
      </w:r>
      <w:r>
        <w:t xml:space="preserve"> </w:t>
      </w:r>
      <w:r>
        <w:t xml:space="preserve">look</w:t>
      </w:r>
      <w:r>
        <w:t xml:space="preserve"> </w:t>
      </w:r>
      <w:r>
        <w:t xml:space="preserve">more</w:t>
      </w:r>
      <w:r>
        <w:t xml:space="preserve"> </w:t>
      </w:r>
      <w:r>
        <w:t xml:space="preserve">similar</w:t>
      </w:r>
      <w:r>
        <w:t xml:space="preserve"> </w:t>
      </w:r>
      <w:r>
        <w:t xml:space="preserve">to</w:t>
      </w:r>
      <w:r>
        <w:t xml:space="preserve"> </w:t>
      </w:r>
      <w:r>
        <w:t xml:space="preserve">fellow</w:t>
      </w:r>
      <w:r>
        <w:t xml:space="preserve"> </w:t>
      </w:r>
      <w:r>
        <w:t xml:space="preserve">U.S.-born</w:t>
      </w:r>
      <w:r>
        <w:t xml:space="preserve"> </w:t>
      </w:r>
      <w:r>
        <w:t xml:space="preserve">LGB</w:t>
      </w:r>
      <w:r>
        <w:t xml:space="preserve"> </w:t>
      </w:r>
      <w:r>
        <w:t xml:space="preserve">Americans:</w:t>
      </w:r>
      <w:r>
        <w:t xml:space="preserve"> </w:t>
      </w:r>
      <w:r>
        <w:t xml:space="preserve">locations</w:t>
      </w:r>
      <w:r>
        <w:t xml:space="preserve"> </w:t>
      </w:r>
      <w:r>
        <w:t xml:space="preserve">with</w:t>
      </w:r>
      <w:r>
        <w:t xml:space="preserve"> </w:t>
      </w:r>
      <w:r>
        <w:t xml:space="preserve">higher</w:t>
      </w:r>
      <w:r>
        <w:t xml:space="preserve"> </w:t>
      </w:r>
      <w:r>
        <w:t xml:space="preserve">concentrations</w:t>
      </w:r>
      <w:r>
        <w:t xml:space="preserve"> </w:t>
      </w:r>
      <w:r>
        <w:t xml:space="preserve">are</w:t>
      </w:r>
      <w:r>
        <w:t xml:space="preserve"> </w:t>
      </w:r>
      <w:r>
        <w:t xml:space="preserve">more</w:t>
      </w:r>
      <w:r>
        <w:t xml:space="preserve"> </w:t>
      </w:r>
      <w:r>
        <w:t xml:space="preserve">progressive,</w:t>
      </w:r>
      <w:r>
        <w:t xml:space="preserve"> </w:t>
      </w:r>
      <w:r>
        <w:t xml:space="preserve">have</w:t>
      </w:r>
      <w:r>
        <w:t xml:space="preserve"> </w:t>
      </w:r>
      <w:r>
        <w:t xml:space="preserve">more</w:t>
      </w:r>
      <w:r>
        <w:t xml:space="preserve"> </w:t>
      </w:r>
      <w:r>
        <w:t xml:space="preserve">robust</w:t>
      </w:r>
      <w:r>
        <w:t xml:space="preserve"> </w:t>
      </w:r>
      <w:r>
        <w:t xml:space="preserve">LGBTQ+</w:t>
      </w:r>
      <w:r>
        <w:t xml:space="preserve"> </w:t>
      </w:r>
      <w:r>
        <w:t xml:space="preserve">civic</w:t>
      </w:r>
      <w:r>
        <w:t xml:space="preserve"> </w:t>
      </w:r>
      <w:r>
        <w:t xml:space="preserve">life,</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Yet</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also</w:t>
      </w:r>
      <w:r>
        <w:t xml:space="preserve"> </w:t>
      </w:r>
      <w:r>
        <w:t xml:space="preserve">live</w:t>
      </w:r>
      <w:r>
        <w:t xml:space="preserve"> </w:t>
      </w:r>
      <w:r>
        <w:t xml:space="preserve">in</w:t>
      </w:r>
      <w:r>
        <w:t xml:space="preserve"> </w:t>
      </w:r>
      <w:r>
        <w:t xml:space="preserve">more</w:t>
      </w:r>
      <w:r>
        <w:t xml:space="preserve"> </w:t>
      </w:r>
      <w:r>
        <w:t xml:space="preserve">racially</w:t>
      </w:r>
      <w:r>
        <w:t xml:space="preserve"> </w:t>
      </w:r>
      <w:r>
        <w:t xml:space="preserve">and</w:t>
      </w:r>
      <w:r>
        <w:t xml:space="preserve"> </w:t>
      </w:r>
      <w:r>
        <w:t xml:space="preserve">ethnically</w:t>
      </w:r>
      <w:r>
        <w:t xml:space="preserve"> </w:t>
      </w:r>
      <w:r>
        <w:t xml:space="preserve">diverse</w:t>
      </w:r>
      <w:r>
        <w:t xml:space="preserve"> </w:t>
      </w:r>
      <w:r>
        <w:t xml:space="preserve">areas</w:t>
      </w:r>
      <w:r>
        <w:t xml:space="preserve"> </w:t>
      </w:r>
      <w:r>
        <w:t xml:space="preserve">compared</w:t>
      </w:r>
      <w:r>
        <w:t xml:space="preserve"> </w:t>
      </w:r>
      <w:r>
        <w:t xml:space="preserve">to</w:t>
      </w:r>
      <w:r>
        <w:t xml:space="preserve"> </w:t>
      </w:r>
      <w:r>
        <w:t xml:space="preserve">U.S.-born</w:t>
      </w:r>
      <w:r>
        <w:t xml:space="preserve"> </w:t>
      </w:r>
      <w:r>
        <w:t xml:space="preserve">Americans</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under</w:t>
      </w:r>
      <w:r>
        <w:t xml:space="preserve"> </w:t>
      </w:r>
      <w:r>
        <w:t xml:space="preserve">which</w:t>
      </w:r>
      <w:r>
        <w:t xml:space="preserve"> </w:t>
      </w:r>
      <w:r>
        <w:t xml:space="preserve">conditions</w:t>
      </w:r>
      <w:r>
        <w:t xml:space="preserve"> </w:t>
      </w:r>
      <w:r>
        <w:t xml:space="preserve">they</w:t>
      </w:r>
      <w:r>
        <w:t xml:space="preserve"> </w:t>
      </w:r>
      <w:r>
        <w:t xml:space="preserve">may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fellow</w:t>
      </w:r>
      <w:r>
        <w:t xml:space="preserve"> </w:t>
      </w:r>
      <w:r>
        <w:t xml:space="preserve">migrants,</w:t>
      </w:r>
      <w:r>
        <w:t xml:space="preserve"> </w:t>
      </w:r>
      <w:r>
        <w:t xml:space="preserve">their</w:t>
      </w:r>
      <w:r>
        <w:t xml:space="preserve"> </w:t>
      </w:r>
      <w:r>
        <w:t xml:space="preserve">fellow</w:t>
      </w:r>
      <w:r>
        <w:t xml:space="preserve"> </w:t>
      </w:r>
      <w:r>
        <w:t xml:space="preserve">sexual</w:t>
      </w:r>
      <w:r>
        <w:t xml:space="preserve"> </w:t>
      </w:r>
      <w:r>
        <w:t xml:space="preserve">minorities,</w:t>
      </w:r>
      <w:r>
        <w:t xml:space="preserve"> </w:t>
      </w:r>
      <w:r>
        <w:t xml:space="preserve">or</w:t>
      </w:r>
      <w:r>
        <w:t xml:space="preserve"> </w:t>
      </w:r>
      <w:r>
        <w:t xml:space="preserve">as</w:t>
      </w:r>
      <w:r>
        <w:t xml:space="preserve"> </w:t>
      </w:r>
      <w:r>
        <w:t xml:space="preserve">a</w:t>
      </w:r>
      <w:r>
        <w:t xml:space="preserve"> </w:t>
      </w:r>
      <w:r>
        <w:t xml:space="preserve">distinct</w:t>
      </w:r>
      <w:r>
        <w:t xml:space="preserve"> </w:t>
      </w:r>
      <w:r>
        <w:t xml:space="preserve">population</w:t>
      </w:r>
      <w:r>
        <w:t xml:space="preserve"> </w:t>
      </w:r>
      <w:r>
        <w:t xml:space="preserve">all</w:t>
      </w:r>
      <w:r>
        <w:t xml:space="preserve"> </w:t>
      </w:r>
      <w:r>
        <w:t xml:space="preserve">their</w:t>
      </w:r>
      <w:r>
        <w:t xml:space="preserve"> </w:t>
      </w:r>
      <w:r>
        <w:t xml:space="preserve">own.xx</w:t>
      </w:r>
    </w:p>
    <w:bookmarkStart w:id="20" w:name="introduction"/>
    <w:p>
      <w:pPr>
        <w:pStyle w:val="Heading1"/>
      </w:pPr>
      <w:r>
        <w:t xml:space="preserve">Introduction</w:t>
      </w:r>
    </w:p>
    <w:p>
      <w:pPr>
        <w:pStyle w:val="FirstParagraph"/>
      </w:pPr>
      <w:r>
        <w:t xml:space="preserve">There is great interest in residential equity and the geographic distribution of people living in the United States. These spatial patterns are linked to a variety of important demographic and social outcomes like health and well-being, exposure to environmental and social hazards, access to quality education, and social capital, among others. Changing legal landscapes are salient factors influencing settlement patterns. This is especially true for LGBTQ+ migrants, whether for asylees seeking refuge from repressive contexts, elite LGBTQ+ migrants selecting ideal cosmopolitan destinations, or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and bisexual (LGB)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 especially in the wake of the DOMA decision, little is known on</w:t>
      </w:r>
      <w:r>
        <w:t xml:space="preserve"> </w:t>
      </w:r>
      <w:r>
        <w:rPr>
          <w:iCs/>
          <w:i/>
        </w:rPr>
        <w:t xml:space="preserve">where</w:t>
      </w:r>
      <w:r>
        <w:t xml:space="preserve"> </w:t>
      </w:r>
      <w:r>
        <w:t xml:space="preserve">LGB migrants settle and enjoy their new rights after in the U.S. Do they gravitate toward LGBTQ+-friendly cities and states, or are they more concerned with job opportunities and cost of living? How have these patterns changed over time, especially in response to local policy changes relevant to LGBTQ+ people and immigrants? In other words, research makes clear that LGBTQ+ migrants often feel caught between their sexual identity and migrant community. Do patterns of settlement, therefore, align with their fellow migrant or, instead, does their dispersion reflect U.S-born, LGB counterparts? Addressing this question, even descriptively, offers important insights into how social processes ultimately affect populations caught against (potentially) countervailing forces.</w:t>
      </w:r>
    </w:p>
    <w:p>
      <w:pPr>
        <w:pStyle w:val="BodyText"/>
      </w:pPr>
      <w:r>
        <w:t xml:space="preserve">This paper implements descriptive and regression analyses to study how settlement patterns of immigrants in same-sex couples in the U.S. respond to local and national policy changes as well as other local factors. We leverage data from the American Community Survey, spanning 2008-2022, to do so. Results suggest that the distribution of immigrants in same-sex couples dramatically expanded during this time period. Moreover, settlement patterns generally look more similar to fellow U.S.-born LGB Americans: locations with higher concentrations are more progressive, have more robust LGBTQ+ civic life, and have higher incomes are associated with more immigrants in same-sex couples. Yet one important contrast is that immigrants in same-sex couples also live in more racially and ethnically diverse areas compared to U.S.-born Americans in same-sex couples. Suggesting that while broadly adhering more closely to U.S.-born geographic patterns, these particular migrants still seek more (relatively) diverse neighborhoods. Our findings contribute to a fuller understanding of how this rapidly growing population and under which conditions they may behave more similarly to their fellow migrants, their fellow sexual minorities, or, which is increasingly the case, act as a distinct population all their own.</w:t>
      </w:r>
    </w:p>
    <w:bookmarkEnd w:id="20"/>
    <w:bookmarkStart w:id="24" w:name="background"/>
    <w:p>
      <w:pPr>
        <w:pStyle w:val="Heading1"/>
      </w:pPr>
      <w:r>
        <w:t xml:space="preserve">Background</w:t>
      </w:r>
    </w:p>
    <w:p>
      <w:pPr>
        <w:pStyle w:val="FirstParagraph"/>
      </w:pPr>
      <w:r>
        <w:t xml:space="preserve">We combine two often distinct literatures, one on immigrant settlement patterns and the other on LGBTQ+ residential dispersion, to understand where immigrants in same-sex relationships live in the U.S. Migration scholars are particularly interested in the distribution of migrants to understand processes like integration and assimilation into native society. But this question if whether immigrants integrate into native-born communities or remain segregated into distinct enclaves is applicable to the residential patterns of LGBTQ+ populations. Research finds LGBTQ+ communities, particularly gay men, to historically concentrate in urban neighborhoods, i.e.,</w:t>
      </w:r>
      <w:r>
        <w:t xml:space="preserve"> </w:t>
      </w:r>
      <w:r>
        <w:t xml:space="preserve">“</w:t>
      </w:r>
      <w:r>
        <w:t xml:space="preserve">gayborhoods,</w:t>
      </w:r>
      <w:r>
        <w:t xml:space="preserve">”</w:t>
      </w:r>
      <w:r>
        <w:t xml:space="preserve"> </w:t>
      </w:r>
      <w:r>
        <w:t xml:space="preserve">but, now,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adhere most similarly to their co-migrants or, instead, live in areas better aligned with their U.S.-born LGB counterparts. Of course, a third option exists, which is that immigrants in same-sex couples, along with LGBTQ+ migrants more broadly, represent a distinct population whose residential patterns are unlike either of their two adjoining counterparts. Knowing where LGBTQ+ migrants locate, though, can better determine where services and social support need to be targeted and which social forces are most salient to a rapidly expanding population exposed to several countervailing trends.</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investigating settlement patterns. Theories of destination choice upon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effects highlights the importance of migrant networks that share information and resources to lower the cost of migration and settling in the destination – suggesting that migrants settle in other migrant-heavy locations because of network effects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within the United States. Indeed, as migration policies become more strict in the U.S., we generally see this having xxeffectxx.</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That said, if immigrants in same-sex couples are represented within these mass migration dynamics, generally, then we’d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 populations in the U.S., generally, and same-sex couples, specifically. Similar to settlement patterns of migrants, LGB Americans are also influenced by the role of economic conditions. For example, those in same-sex couples are generally found to be in areas with greater socioeconomic conditions,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relatively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Of course, the relative privilege of same-sex couples stands in opposition to LGBTQ+ communities, as whole. But just like heterosexual counterparts, cohabiting and married couples are disproportionately of better socioeconomic statusxx. Consistent findings also highlight the role of network effects, with same-sex couples located in areas with high concentrations of other same-sex couples – similar to other ethnic and migrant enclaves. Even beyond the U.S., concentration in urban settings among other LGB couples is typical and this effect is even stronger for single individuals compared to those in couples</w:t>
      </w:r>
      <w:r>
        <w:t xml:space="preserve"> </w:t>
      </w:r>
      <w:r>
        <w:t xml:space="preserve">(</w:t>
      </w:r>
      <w:hyperlink w:anchor="ref-carpio-pinedo_2025_castro">
        <w:r>
          <w:rPr>
            <w:rStyle w:val="Hyperlink"/>
            <w:bCs/>
            <w:b/>
          </w:rPr>
          <w:t xml:space="preserve">carpio-pinedo_2025_castro?</w:t>
        </w:r>
      </w:hyperlink>
      <w:r>
        <w:t xml:space="preserve">;</w:t>
      </w:r>
      <w:r>
        <w:t xml:space="preserve"> </w:t>
      </w:r>
      <w:hyperlink w:anchor="ref-wimark_2014_the">
        <w:r>
          <w:rPr>
            <w:rStyle w:val="Hyperlink"/>
            <w:bCs/>
            <w:b/>
          </w:rPr>
          <w:t xml:space="preserve">wimark_2014_the?</w:t>
        </w:r>
      </w:hyperlink>
      <w:r>
        <w:t xml:space="preserve">)</w:t>
      </w:r>
      <w:r>
        <w:t xml:space="preserve">. This clustering may be happening, not only in addition to network effects, but because higher concentrations help to protect same-sex couples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common concentration pattern, though, the vast majority of research investigating residential patterns of same-sex couples focuses on urban 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And, this urban-focused scholarship commonly extends to the transformation of gayborhoods, as well, and the on-going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one distinct characteristic is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these trends have often emphasized same-sex couples living in urban gayborhoods with access to (relatively) more progressive legal environments. But both changes in demographic trends and academic attention have shifted greater attention to LGB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neighborhoods have become gentrified and rising costs have led same-sex couples, which are disproportionately comprised of gay men, to move to other parts of a city or out of particular urban centers altogether</w:t>
      </w:r>
      <w:r>
        <w:t xml:space="preserve"> </w:t>
      </w:r>
      <w:r>
        <w:t xml:space="preserve">(</w:t>
      </w:r>
      <w:hyperlink w:anchor="ref-gentrification">
        <w:r>
          <w:rPr>
            <w:rStyle w:val="Hyperlink"/>
            <w:bCs/>
            <w:b/>
          </w:rPr>
          <w:t xml:space="preserve">gentrification?</w:t>
        </w:r>
      </w:hyperlink>
      <w:r>
        <w:t xml:space="preserve">)</w:t>
      </w:r>
      <w:r>
        <w:t xml:space="preserve">. Others meanwhile,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These trends underscore the argument made by</w:t>
      </w:r>
      <w:r>
        <w:t xml:space="preserve"> </w:t>
      </w:r>
      <w:r>
        <w:t xml:space="preserve">Stone (</w:t>
      </w:r>
      <w:hyperlink w:anchor="ref-stone_2018_geography">
        <w:r>
          <w:rPr>
            <w:rStyle w:val="Hyperlink"/>
          </w:rPr>
          <w:t xml:space="preserve">2018</w:t>
        </w:r>
      </w:hyperlink>
      <w:r>
        <w:t xml:space="preserve">)</w:t>
      </w:r>
      <w:r>
        <w:t xml:space="preserve"> </w:t>
      </w:r>
      <w:r>
        <w:t xml:space="preserve">that researchers of LGBTQ+ geography need to look beyond the</w:t>
      </w:r>
      <w:r>
        <w:t xml:space="preserve"> </w:t>
      </w:r>
      <w:r>
        <w:t xml:space="preserve">“</w:t>
      </w:r>
      <w:r>
        <w:t xml:space="preserve">great cities</w:t>
      </w:r>
      <w:r>
        <w:t xml:space="preserve">”</w:t>
      </w:r>
      <w:r>
        <w:t xml:space="preserve"> </w:t>
      </w:r>
      <w:r>
        <w:t xml:space="preserve">and toward more ordinary cities, the South, and rural locales to get a more holistic understanding of LGBTQ+ geographic patterning in the U.S. Indeed, same-sex couples are increasingly represented in red states and rural counties, which can either reflect displacement out of cities and/or increasing acceptance and integration of these unions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w:t>
      </w:r>
    </w:p>
    <w:p>
      <w:pPr>
        <w:pStyle w:val="BodyText"/>
      </w:pPr>
      <w:r>
        <w:t xml:space="preserve">Unfortunately, much of the information on LGBTQ+ residential location in the U.S. is based on couple information and at aggregate levels. Reliance on data from the decennial census and the American Community Survey have necessarily constrained insights to those in cohabiting, same-sex couples (whether married or unmarried). Representative, quantitative data is quite limited at the individual level. There has also been a bias to examine urban residential patterns despite clear movement toward suburban and rural locations</w:t>
      </w:r>
      <w:r>
        <w:t xml:space="preserve"> </w:t>
      </w:r>
      <w:r>
        <w:t xml:space="preserve">(</w:t>
      </w:r>
      <w:hyperlink w:anchor="ref-marino_2024_visualizing">
        <w:r>
          <w:rPr>
            <w:rStyle w:val="Hyperlink"/>
          </w:rPr>
          <w:t xml:space="preserve">Marino et al. 2024</w:t>
        </w:r>
      </w:hyperlink>
      <w:r>
        <w:t xml:space="preserve">)</w:t>
      </w:r>
      <w:r>
        <w:t xml:space="preserve">. More research is needed, then, to understand patterns at lower levels of aggregation – both geographically and at observation unit</w:t>
      </w:r>
      <w:r>
        <w:t xml:space="preserve"> </w:t>
      </w:r>
      <w:r>
        <w:t xml:space="preserve">(</w:t>
      </w:r>
      <w:hyperlink w:anchor="ref-spring_2024_new">
        <w:r>
          <w:rPr>
            <w:rStyle w:val="Hyperlink"/>
          </w:rPr>
          <w:t xml:space="preserve">A. Spring and Ghaziani 2024</w:t>
        </w:r>
      </w:hyperlink>
      <w:r>
        <w:t xml:space="preserve">)</w:t>
      </w:r>
      <w:r>
        <w:t xml:space="preserve">.</w:t>
      </w:r>
    </w:p>
    <w:bookmarkEnd w:id="22"/>
    <w:bookmarkStart w:id="23" w:name="X7c23657a8e47f864753225ed7ace842bbbad2be"/>
    <w:p>
      <w:pPr>
        <w:pStyle w:val="Heading2"/>
      </w:pPr>
      <w:r>
        <w:t xml:space="preserve">Residential Expectations for Immigrants in Same-Sex Couples in the United States</w:t>
      </w:r>
    </w:p>
    <w:p>
      <w:pPr>
        <w:pStyle w:val="FirstParagraph"/>
      </w:pPr>
      <w:r>
        <w:t xml:space="preserve">To date, most quantitative research on same-sex couples implicitly assumes all respondents are U.S.-born since nativity status is neither explicitly asked nor ever specified. Consequently, it is unknown whether the patterns exhibited above reflect immigrants in similar unions. However, existing qualitative work can nevertheless set up some empirical expectations. Studies demonstrate that LGBTQ+ migrants coming to Western countries, like the U.S., see cities as desirable destinations, especially as cities have come to promote themselves as inclusive toward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 However, migrants from non-Western settings or from lower socioeconomic conditions are often excluded from domestic LGBTQ+ spaces and find their integration into existing LGBTQ+ residential and social infrastructure challenging</w:t>
      </w:r>
      <w:r>
        <w:t xml:space="preserve"> </w:t>
      </w:r>
      <w:r>
        <w:t xml:space="preserve">(</w:t>
      </w:r>
      <w:hyperlink w:anchor="ref-el-tayeb_2012_gays">
        <w:r>
          <w:rPr>
            <w:rStyle w:val="Hyperlink"/>
          </w:rPr>
          <w:t xml:space="preserve">El-Tayeb 2012</w:t>
        </w:r>
      </w:hyperlink>
      <w:r>
        <w:t xml:space="preserve">)</w:t>
      </w:r>
      <w:r>
        <w:t xml:space="preserve">. Indeed,</w:t>
      </w:r>
      <w:r>
        <w:t xml:space="preserve"> </w:t>
      </w:r>
      <w:r>
        <w:t xml:space="preserve">(</w:t>
      </w:r>
      <w:hyperlink w:anchor="ref-guomundsdottir_2024_north">
        <w:r>
          <w:rPr>
            <w:rStyle w:val="Hyperlink"/>
            <w:bCs/>
            <w:b/>
          </w:rPr>
          <w:t xml:space="preserve">guomundsdottir_2024_north?</w:t>
        </w:r>
      </w:hyperlink>
      <w:r>
        <w:t xml:space="preserve">)</w:t>
      </w:r>
      <w:r>
        <w:t xml:space="preserve"> </w:t>
      </w:r>
      <w:r>
        <w:t xml:space="preserve">finds privileged migrants, particularly white migrants, capable of integrationg into existing LGBTQ+ spaces and patterns of social life in Iceland, but not necessarily LGBTQ+ migrants outside of these categories. Considering that recent waves of migration into the U.S. consist of people Latin America and Asia, these may be the precise populations that experience exclusion. Consequently, their residential patterns may not necessarily look like their U.S. LGB counterparts but, instead, find greater inclusion in their areas dominated by their co-migrants.</w:t>
      </w:r>
    </w:p>
    <w:p>
      <w:pPr>
        <w:pStyle w:val="BodyText"/>
      </w:pPr>
      <w:r>
        <w:t xml:space="preserve">Existing qualitative research on the residential processes of LGBTQ+ migrants often highlight their exclusion from mainstream LGBTQ+ spaces because these studies disproportionately focus on asylees and individuals seeking refuge in the U.S. Consequently, these samples are highly-selected to experience social exclusion. Moreover, this profile of LGBTQ+ migrant stands in contrast to the characteristics of immigrants in same-sex relationships at the population-level.</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find that immigrants in same-sex couples, whether married or cohabiting, are quite privileged. Compared to immigrants in different-sex couples, those in same-sex couples come from richer, more democratic, and more LGB-friendly countries. Immigrants in same-sex couples also tend to be more highly educated, work in more prestigious occupations, and have higher incomes. These are the immigrants, then, that are perhaps best positioned to integrate into existing LGBTQ+ spaces and, in effect, have residential patterns that are more akin to their U.S. counterparts. One important reason for this disproportionate privileged positioning and reason for reflecting their U.S.-born counterparts as opposed to fellow migrants is because a significant number of these immigrants are in binational arrangements with a U.S.-born counterpart</w:t>
      </w:r>
      <w:r>
        <w:t xml:space="preserve"> </w:t>
      </w:r>
      <w:r>
        <w:t xml:space="preserve">(</w:t>
      </w:r>
      <w:hyperlink w:anchor="ref-hoffmann_2024_policy">
        <w:r>
          <w:rPr>
            <w:rStyle w:val="Hyperlink"/>
          </w:rPr>
          <w:t xml:space="preserve">Hoffmann and Velasco 2024a</w:t>
        </w:r>
      </w:hyperlink>
      <w:r>
        <w:t xml:space="preserve">)</w:t>
      </w:r>
      <w:r>
        <w:t xml:space="preserve">. After the end of the Defense of Marriage Act in 2013, U.S citizens could sponsor a spousal and fiance visa for their same-sex partner for the first time – dramatically increasing the number of immigrants in same-sex couples in the U.S.</w:t>
      </w:r>
      <w:r>
        <w:t xml:space="preserve"> </w:t>
      </w:r>
      <w:r>
        <w:t xml:space="preserve">(</w:t>
      </w:r>
      <w:hyperlink w:anchor="ref-hoffmann_2024_policy">
        <w:r>
          <w:rPr>
            <w:rStyle w:val="Hyperlink"/>
          </w:rPr>
          <w:t xml:space="preserve">Hoffmann and Velasco 2024a</w:t>
        </w:r>
      </w:hyperlink>
      <w:r>
        <w:t xml:space="preserve">)</w:t>
      </w:r>
      <w:r>
        <w:t xml:space="preserve">. And, emergent research shows how these immigrants get integrated into the normative cultures of U.S. life as opposed to their U.S.-born partner being pulled toward immigrant communities reflective of their new same-sex partner</w:t>
      </w:r>
      <w:r>
        <w:t xml:space="preserve"> </w:t>
      </w:r>
      <w:r>
        <w:t xml:space="preserve">(</w:t>
      </w:r>
      <w:hyperlink w:anchor="ref-seo_2024_quotidian">
        <w:r>
          <w:rPr>
            <w:rStyle w:val="Hyperlink"/>
            <w:bCs/>
            <w:b/>
          </w:rPr>
          <w:t xml:space="preserve">seo_2024_quotidian?</w:t>
        </w:r>
      </w:hyperlink>
      <w:r>
        <w:t xml:space="preserve">)</w:t>
      </w:r>
      <w:r>
        <w:t xml:space="preserve">.</w:t>
      </w:r>
    </w:p>
    <w:p>
      <w:pPr>
        <w:pStyle w:val="BodyText"/>
      </w:pPr>
      <w:r>
        <w:t xml:space="preserve">Of course, there is also the real possibility that immigrants and same-sex couples, and LGBTQ+ migrants more broadly, represent their own distinct population and have residential patterns that do not reflet either their co-national or U.S. counterparts.</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Due to their greater personal privilege as well as this LGB-migrant-specific antagonism from larger society, LGB migrants may concentrate in their own unique enclaves.</w:t>
      </w:r>
    </w:p>
    <w:bookmarkEnd w:id="23"/>
    <w:bookmarkEnd w:id="24"/>
    <w:bookmarkStart w:id="27" w:name="data-and-methods"/>
    <w:p>
      <w:pPr>
        <w:pStyle w:val="Heading1"/>
      </w:pPr>
      <w:r>
        <w:t xml:space="preserve">Data and Methods</w:t>
      </w:r>
    </w:p>
    <w:p>
      <w:pPr>
        <w:pStyle w:val="FirstParagraph"/>
      </w:pPr>
      <w:r>
        <w:t xml:space="preserve">Our main source of data is the American Community Survey (ACS) for 2008 to 2022 (except for 2020, when data quality was not of adequate quality)</w:t>
      </w:r>
      <w:r>
        <w:t xml:space="preserve"> </w:t>
      </w:r>
      <w:r>
        <w:t xml:space="preserve">(</w:t>
      </w:r>
      <w:hyperlink w:anchor="ref-ruggles_2024_ipums">
        <w:r>
          <w:rPr>
            <w:rStyle w:val="Hyperlink"/>
          </w:rPr>
          <w:t xml:space="preserve">Ruggles et al. 2024</w:t>
        </w:r>
      </w:hyperlink>
      <w:r>
        <w:t xml:space="preserve">)</w:t>
      </w:r>
      <w:r>
        <w:t xml:space="preserve">.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 18 to 64, and immigrants in the sample migrated at the age of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13,284), immigrants in different-sex couples (</w:t>
      </w:r>
      <m:oMath>
        <m:r>
          <m:t>N</m:t>
        </m:r>
      </m:oMath>
      <w:r>
        <w:t xml:space="preserve"> </w:t>
      </w:r>
      <w:r>
        <w:t xml:space="preserve">= 1,575,975), and individuals in same-sex couples where neither individual is an immigrant (</w:t>
      </w:r>
      <m:oMath>
        <m:r>
          <m:t>N</m:t>
        </m:r>
      </m:oMath>
      <w:r>
        <w:t xml:space="preserve"> </w:t>
      </w:r>
      <w:r>
        <w:t xml:space="preserve">= 173,546). The weighted sample is equivalent to 193 million individuals over the 14 years of data.</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 couples that cohabit; unpartnered LGB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and are calculated at the level of the Public Use Microdata Area (PUMA), a geographic unit of analysis that covers a population of at least 100,000 and does not cross state lines. PUMAs partition the entirety of the United States, and most of our analyses are at the level of the country as a whole.</w:t>
      </w:r>
    </w:p>
    <w:p>
      <w:pPr>
        <w:pStyle w:val="BodyText"/>
      </w:pPr>
      <w:r>
        <w:t xml:space="preserve">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who own their own home, whose income is under 100% or 200% of the poverty line, and who are unemployed. We also consider the mean PUMA-level values of personal income, Hauser-Warren occupational prestige score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value of home (in $1000s), rent, and cost of electricity.</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who identify as Hispanic. We also use a measure from the ACS of the density of the PUMA in persons per square mile.</w:t>
      </w:r>
    </w:p>
    <w:p>
      <w:pPr>
        <w:pStyle w:val="BodyText"/>
      </w:pPr>
      <w:r>
        <w:t xml:space="preserve">We also use social data from two other sources. First, to examine LGB policies at state of destination, we use original datasets. We predict that LGB migrants will prefer to live in states with more progressive LGB policy. To create the U.S. state policy index, we compile data from the Movement Advancement Project</w:t>
      </w:r>
      <w:r>
        <w:rPr>
          <w:rStyle w:val="FootnoteReference"/>
        </w:rPr>
        <w:footnoteReference w:id="25"/>
      </w:r>
      <w:r>
        <w:t xml:space="preserve">, a leading LGB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and 2022.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Due to data unavailability at the time of writing, we use 2021 data for 2022.</w:t>
      </w:r>
    </w:p>
    <w:p>
      <w:pPr>
        <w:pStyle w:val="BodyText"/>
      </w:pPr>
      <w:r>
        <w:t xml:space="preserve">Our analyses are descriptive, presenting and comparing the contours of the populations of immigrants in same-sex couples, immigrants in different-sex couples, and U.S.-born in same-se couples. Means for individual variables by group are presented in Table</w:t>
      </w:r>
      <w:r>
        <w:t xml:space="preserve"> </w:t>
      </w:r>
      <w:r>
        <w:t xml:space="preserve">1</w:t>
      </w:r>
      <w:r>
        <w:t xml:space="preserve">, and PUMA-level geographic variables by group are presented in Table</w:t>
      </w:r>
      <w:r>
        <w:t xml:space="preserve"> </w:t>
      </w:r>
      <w:r>
        <w:t xml:space="preserve">2</w:t>
      </w:r>
      <w:r>
        <w:t xml:space="preserve">. We also examine the state-level proportion of immigrants in same-sex couples as well as the the variation in both individual and geographic variables over time.</w:t>
      </w:r>
    </w:p>
    <w:bookmarkEnd w:id="27"/>
    <w:bookmarkStart w:id="31" w:name="results"/>
    <w:p>
      <w:pPr>
        <w:pStyle w:val="Heading1"/>
      </w:pPr>
      <w:r>
        <w:t xml:space="preserve">Results</w:t>
      </w:r>
    </w:p>
    <w:bookmarkStart w:id="29"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2</w:t>
      </w:r>
      <w:r>
        <w:t xml:space="preserve"> </w:t>
      </w:r>
      <w:r>
        <w:t xml:space="preserve">shows how the group means of a numeric subset of these variables change over time. Beginning with socioeconomic characteristics, individuals in same-sex couples – regardless of nativity – are generally more advantaged than immigrants in different-sex couples. This is true for annual income, occupational prestige score (as measured by the Hauser and Warren Socioeconomic Index), high school completion, or college completion. Income and occupational prestige are nearly indistinguishable between the two groups of LGB individuals. Interestingly, compared to U.S.-born LGB individuals, LGB immigrants have lower rates of high school completion but higher rates of college completion. This implies a bimodal distribution: LGB immigrants consist of individuals with high education and those with relatively little education.</w:t>
      </w:r>
    </w:p>
    <w:p>
      <w:pPr>
        <w:pStyle w:val="BodyText"/>
      </w:pPr>
      <w:r>
        <w:t xml:space="preserve">LGB individuals in general are much less likely than heterosexual ones to have children, however, before 2015, LGB immigrants were more likely to have children than the LGB U.S.-born. In recent years both LGB groups are equally likely, to have children, at about 20 percent. Children of LGB people tend to be from previous heterosexual relationships, which may have been more likely for LGB immigrants in the past. LGB migrants have also become younger than heterosexual ones in recent years.</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 immigrants are similar to those for heterosexual immigrants, but the proportion Asian is lower (23 percent for LGB compared to 31 percent for heterosexuals). As for sex, while there are slightly more females than males among heterosexual immigrants and the LGB U.S.-born, there are nearly twice as many males than females among LGB migrants.</w:t>
      </w:r>
      <w:r>
        <w:rPr>
          <w:rStyle w:val="FootnoteReference"/>
        </w:rPr>
        <w:footnoteReference w:id="28"/>
      </w:r>
    </w:p>
    <w:bookmarkEnd w:id="29"/>
    <w:bookmarkStart w:id="30"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1</w:t>
      </w:r>
      <w:r>
        <w:t xml:space="preserve"> </w:t>
      </w:r>
      <w:r>
        <w:t xml:space="preserve">presents the percentage coupled immigrants in each state who are in same-sex couples and how these figures have changed over time. The figure shows maps for three time periods: 2008-2012, 2013-2017, and 2018-2022. Most states had greater proportions of immigrants in same-sex couples in 2022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(2018-2022), more of the map shows higher percentages of immigrants in same-sex couples, including more relatively conservative states.</w:t>
      </w:r>
    </w:p>
    <w:p>
      <w:pPr>
        <w:pStyle w:val="BodyText"/>
      </w:pPr>
      <w:r>
        <w:t xml:space="preserve">In the Appendix Figure</w:t>
      </w:r>
      <w:r>
        <w:t xml:space="preserve"> </w:t>
      </w:r>
      <w:r>
        <w:t xml:space="preserve">4</w:t>
      </w:r>
      <w:r>
        <w:t xml:space="preserve">, we present maps of subgroup distributions. Aggregating all of our years of data, these maps show the percentage of immigrants in same-sex couples in a given state who belong to three types of subgroups: ethnicity, sex, and whether they have children. Higher proportions of LGB immigrants with children live in the Midwest than the coasts.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Immigrants in same-sex couples tend to be more similar to immigrants in different-sex couples than non-immigrants in same-sex couples. Most notably, immigrants in same- and different-sex couples live in areas with similar proportions of immigrants and Hispanic people, with higher home values and rent, and in denser areas. However, immigrants in same-sex couples live in areas with somewhat more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immigrants in same-sex couples live in states with an average score of nearly 4. Also notable are differences around the number of LGBT nonprofits. On average, immigrants in same-sex couples live in PUMAs with 1.2 LGBT nonprofits, while LGB non-immigrants live in PUMAs with 0.76 and immigrants in different-sex couples with 0.30. They also live in areas with more immigrant nonprofits, with an average of 1.0. Surprisingly, the number of immigrant nonprofits for the average immigrant in a different-sex couple and average non-immigrant in a same sex couple are quite similar, at about 0.8.</w:t>
      </w:r>
    </w:p>
    <w:p>
      <w:pPr>
        <w:pStyle w:val="BodyText"/>
      </w:pPr>
      <w:r>
        <w:t xml:space="preserve">Figures</w:t>
      </w:r>
      <w:r>
        <w:t xml:space="preserve"> </w:t>
      </w:r>
      <w:r>
        <w:t xml:space="preserve">??</w:t>
      </w:r>
      <w:r>
        <w:t xml:space="preserve"> </w:t>
      </w:r>
      <w:r>
        <w:t xml:space="preserve">and</w:t>
      </w:r>
      <w:r>
        <w:t xml:space="preserve"> </w:t>
      </w:r>
      <w:r>
        <w:t xml:space="preserve">??</w:t>
      </w:r>
      <w:r>
        <w:t xml:space="preserve"> </w:t>
      </w:r>
      <w:r>
        <w:t xml:space="preserve">show how these differences are fairly stable over time. One notable change is the average percent of Black residents in the typical area for each group: Around 2010, immigrants in same-sex couples were 1 to 2 percentage points more likely to live in areas with Black respondents than the other groups, but in recent years the numbers are very similar.</w:t>
      </w:r>
    </w:p>
    <w:bookmarkEnd w:id="30"/>
    <w:bookmarkEnd w:id="31"/>
    <w:bookmarkStart w:id="32" w:name="discussion-and-conclusion"/>
    <w:p>
      <w:pPr>
        <w:pStyle w:val="Heading1"/>
      </w:pPr>
      <w:r>
        <w:t xml:space="preserve">Discussion and Conclusion</w:t>
      </w:r>
    </w:p>
    <w:p>
      <w:pPr>
        <w:pStyle w:val="FirstParagraph"/>
      </w:pPr>
      <w:r>
        <w:t xml:space="preserve">In 2013, the U.S. Supreme Court overturned the Defense of Marriage Act and required the U.S. government to begin recognizing marriages between same-sex spouses. Once immigrants in same-sex couples had access to spousal and finané(e)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is it, then, that these immigrants settle in the United States over time?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2022. This trend underscores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county-level and metropolitan-level distributions in same-sex couples overall.</w:t>
      </w:r>
    </w:p>
    <w:p>
      <w:pPr>
        <w:pStyle w:val="BodyText"/>
      </w:pPr>
      <w:r>
        <w:t xml:space="preserve">Second, when descriptively comparing the types of areas immigrants in same-sex couples live compared to immigrants in different-sex couples and U.S.-born individuals in same-sex couples, we find immigrants are typically closer to trends matching their fellow immigrants. A notable exception is that immigrants in same-sex couples live in areas with greater concentration of those with Bachelor’s degrees, more LGBTQ+ nonprofits, more density, and have higher average incomes. In other words, these descriptive trends show this population to have a disproportionate draw to areas that may be more characteristic of gayborhoods</w:t>
      </w:r>
      <w:r>
        <w:t xml:space="preserve"> </w:t>
      </w:r>
      <w:r>
        <w:t xml:space="preserve">(</w:t>
      </w:r>
      <w:hyperlink w:anchor="ref-ghaziani_2016_there">
        <w:r>
          <w:rPr>
            <w:rStyle w:val="Hyperlink"/>
          </w:rPr>
          <w:t xml:space="preserve">Ghaziani 2016</w:t>
        </w:r>
      </w:hyperlink>
      <w:r>
        <w:t xml:space="preserve">)</w:t>
      </w:r>
      <w:r>
        <w:t xml:space="preserve">. Yet, our OLS and quasi-Poisson models show that when compared to U.S.-born Americans in same-sex couples, their immigrant counterparts live in areas that are more Hispanic, Black, have more immigrants, and in states with even more progressive LGBTQ+ policies.</w:t>
      </w:r>
    </w:p>
    <w:p>
      <w:pPr>
        <w:pStyle w:val="BodyText"/>
      </w:pPr>
      <w:r>
        <w:t xml:space="preserve">Third, rather than being more akin to one adjacent population or the other, it appears that immigrants in same-sex couples operate on their own distinct settlement patterns. These immigrants live in more diverse, cosmopolitan, and LGBTQ+ supportive locations in the United States, unlike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As found by</w:t>
      </w:r>
      <w:r>
        <w:t xml:space="preserve"> </w:t>
      </w:r>
      <w:r>
        <w:t xml:space="preserve">Hoffmann and Velasco (</w:t>
      </w:r>
      <w:hyperlink w:anchor="ref-hoffmann_2023_sexuality">
        <w:r>
          <w:rPr>
            <w:rStyle w:val="Hyperlink"/>
          </w:rPr>
          <w:t xml:space="preserve">2023</w:t>
        </w:r>
      </w:hyperlink>
      <w:r>
        <w:t xml:space="preserve">)</w:t>
      </w:r>
      <w:r>
        <w:t xml:space="preserve">, this may because, as a population, immigrants in same-sex couples are some of the move privileged among immigrants – typically having higher incomes, occupational prestige, and educational attainment. Consequently,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 migrants in couples who live together, excluding single or non-cohabiting LGB migrants.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 migrants in these areas. In-depth qualitative work is necessary to understand how LGB migrants consider various aspects of place and space in deciding where to settle.</w:t>
      </w:r>
    </w:p>
    <w:p>
      <w:r>
        <w:br w:type="page"/>
      </w:r>
    </w:p>
    <w:bookmarkEnd w:id="32"/>
    <w:bookmarkStart w:id="139" w:name="references"/>
    <w:p>
      <w:pPr>
        <w:pStyle w:val="Heading1"/>
      </w:pPr>
      <w:r>
        <w:t xml:space="preserve">References</w:t>
      </w:r>
    </w:p>
    <w:bookmarkStart w:id="138" w:name="refs"/>
    <w:bookmarkStart w:id="34"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3">
        <w:r>
          <w:rPr>
            <w:rStyle w:val="Hyperlink"/>
          </w:rPr>
          <w:t xml:space="preserve">https://doi.org/10.1007/978-94-007-5512-3</w:t>
        </w:r>
      </w:hyperlink>
      <w:r>
        <w:t xml:space="preserve">.</w:t>
      </w:r>
    </w:p>
    <w:bookmarkEnd w:id="34"/>
    <w:bookmarkStart w:id="35"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5"/>
    <w:bookmarkStart w:id="37"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6">
        <w:r>
          <w:rPr>
            <w:rStyle w:val="Hyperlink"/>
          </w:rPr>
          <w:t xml:space="preserve">https://doi.org/10.1007/978-3-030-10910-3_11</w:t>
        </w:r>
      </w:hyperlink>
      <w:r>
        <w:t xml:space="preserve">.</w:t>
      </w:r>
    </w:p>
    <w:bookmarkEnd w:id="37"/>
    <w:bookmarkStart w:id="39"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8">
        <w:r>
          <w:rPr>
            <w:rStyle w:val="Hyperlink"/>
          </w:rPr>
          <w:t xml:space="preserve">https://doi.org/10.1007/s11113-023-09842-7</w:t>
        </w:r>
      </w:hyperlink>
      <w:r>
        <w:t xml:space="preserve">.</w:t>
      </w:r>
    </w:p>
    <w:bookmarkEnd w:id="39"/>
    <w:bookmarkStart w:id="41"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Cs/>
          <w:i/>
        </w:rPr>
        <w:t xml:space="preserve">Geography Compass</w:t>
      </w:r>
      <w:r>
        <w:t xml:space="preserve"> </w:t>
      </w:r>
      <w:r>
        <w:t xml:space="preserve">8 (8): 590–99.</w:t>
      </w:r>
      <w:r>
        <w:t xml:space="preserve"> </w:t>
      </w:r>
      <w:hyperlink r:id="rId40">
        <w:r>
          <w:rPr>
            <w:rStyle w:val="Hyperlink"/>
          </w:rPr>
          <w:t xml:space="preserve">https://doi.org/10.1111/gec3.12151</w:t>
        </w:r>
      </w:hyperlink>
      <w:r>
        <w:t xml:space="preserve">.</w:t>
      </w:r>
    </w:p>
    <w:bookmarkEnd w:id="41"/>
    <w:bookmarkStart w:id="42" w:name="ref-binnie_2006_cosmopolitan"/>
    <w:p>
      <w:pPr>
        <w:pStyle w:val="Bibliography"/>
      </w:pPr>
      <w:r>
        <w:t xml:space="preserve">Binnie, Jon, Julian Holloway, Steve Millington, and Craig Young. 2006.</w:t>
      </w:r>
      <w:r>
        <w:t xml:space="preserve"> </w:t>
      </w:r>
      <w:r>
        <w:rPr>
          <w:iCs/>
          <w:i/>
        </w:rPr>
        <w:t xml:space="preserve">Cosmopolitan</w:t>
      </w:r>
      <w:r>
        <w:rPr>
          <w:iCs/>
          <w:i/>
        </w:rPr>
        <w:t xml:space="preserve"> </w:t>
      </w:r>
      <w:r>
        <w:rPr>
          <w:iCs/>
          <w:i/>
        </w:rPr>
        <w:t xml:space="preserve">Urbanism</w:t>
      </w:r>
      <w:r>
        <w:t xml:space="preserve">. Routledge.</w:t>
      </w:r>
    </w:p>
    <w:bookmarkEnd w:id="42"/>
    <w:bookmarkStart w:id="44"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3">
        <w:r>
          <w:rPr>
            <w:rStyle w:val="Hyperlink"/>
          </w:rPr>
          <w:t xml:space="preserve">https://doi.org/10.1006/juec.2001.2237</w:t>
        </w:r>
      </w:hyperlink>
      <w:r>
        <w:t xml:space="preserve">.</w:t>
      </w:r>
    </w:p>
    <w:bookmarkEnd w:id="44"/>
    <w:bookmarkStart w:id="45"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5"/>
    <w:bookmarkStart w:id="47"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Cs/>
          <w:i/>
        </w:rPr>
        <w:t xml:space="preserve">Geography Compass</w:t>
      </w:r>
      <w:r>
        <w:t xml:space="preserve"> </w:t>
      </w:r>
      <w:r>
        <w:t xml:space="preserve">2 (4): 1215–31.</w:t>
      </w:r>
      <w:r>
        <w:t xml:space="preserve"> </w:t>
      </w:r>
      <w:hyperlink r:id="rId46">
        <w:r>
          <w:rPr>
            <w:rStyle w:val="Hyperlink"/>
          </w:rPr>
          <w:t xml:space="preserve">https://doi.org/10.1111/j.1749-8198.2008.00127.x</w:t>
        </w:r>
      </w:hyperlink>
      <w:r>
        <w:t xml:space="preserve">.</w:t>
      </w:r>
    </w:p>
    <w:bookmarkEnd w:id="47"/>
    <w:bookmarkStart w:id="48"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48"/>
    <w:bookmarkStart w:id="50"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49">
        <w:r>
          <w:rPr>
            <w:rStyle w:val="Hyperlink"/>
          </w:rPr>
          <w:t xml:space="preserve">https://doi.org/10.1080/1387698042000273479</w:t>
        </w:r>
      </w:hyperlink>
      <w:r>
        <w:t xml:space="preserve">.</w:t>
      </w:r>
    </w:p>
    <w:bookmarkEnd w:id="50"/>
    <w:bookmarkStart w:id="52"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51">
        <w:r>
          <w:rPr>
            <w:rStyle w:val="Hyperlink"/>
          </w:rPr>
          <w:t xml:space="preserve">https://doi.org/10.1177/00380385211073237</w:t>
        </w:r>
      </w:hyperlink>
      <w:r>
        <w:t xml:space="preserve">.</w:t>
      </w:r>
    </w:p>
    <w:bookmarkEnd w:id="52"/>
    <w:bookmarkStart w:id="54"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53">
        <w:r>
          <w:rPr>
            <w:rStyle w:val="Hyperlink"/>
          </w:rPr>
          <w:t xml:space="preserve">https://doi.org/10.1111/kykl.12206</w:t>
        </w:r>
      </w:hyperlink>
      <w:r>
        <w:t xml:space="preserve">.</w:t>
      </w:r>
    </w:p>
    <w:bookmarkEnd w:id="54"/>
    <w:bookmarkStart w:id="56"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55">
        <w:r>
          <w:rPr>
            <w:rStyle w:val="Hyperlink"/>
          </w:rPr>
          <w:t xml:space="preserve">https://doi.org/10.1016/j.geoforum.2015.11.007</w:t>
        </w:r>
      </w:hyperlink>
      <w:r>
        <w:t xml:space="preserve">.</w:t>
      </w:r>
    </w:p>
    <w:bookmarkEnd w:id="56"/>
    <w:bookmarkStart w:id="58"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57">
        <w:r>
          <w:rPr>
            <w:rStyle w:val="Hyperlink"/>
          </w:rPr>
          <w:t xml:space="preserve">https://doi.org/10.1177/0011392119850231</w:t>
        </w:r>
      </w:hyperlink>
      <w:r>
        <w:t xml:space="preserve">.</w:t>
      </w:r>
    </w:p>
    <w:bookmarkEnd w:id="58"/>
    <w:bookmarkStart w:id="60"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59">
        <w:r>
          <w:rPr>
            <w:rStyle w:val="Hyperlink"/>
          </w:rPr>
          <w:t xml:space="preserve">https://doi.org/10.1177/0002716219857667</w:t>
        </w:r>
      </w:hyperlink>
      <w:r>
        <w:t xml:space="preserve">.</w:t>
      </w:r>
    </w:p>
    <w:bookmarkEnd w:id="60"/>
    <w:bookmarkStart w:id="62"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61">
        <w:r>
          <w:rPr>
            <w:rStyle w:val="Hyperlink"/>
          </w:rPr>
          <w:t xml:space="preserve">https://www.jstor.org/stable/42864364</w:t>
        </w:r>
      </w:hyperlink>
      <w:r>
        <w:t xml:space="preserve">.</w:t>
      </w:r>
    </w:p>
    <w:bookmarkEnd w:id="62"/>
    <w:bookmarkStart w:id="63"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63"/>
    <w:bookmarkStart w:id="65"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Cs/>
          <w:i/>
        </w:rPr>
        <w:t xml:space="preserve">European Journal of Women’s Studies</w:t>
      </w:r>
      <w:r>
        <w:t xml:space="preserve"> </w:t>
      </w:r>
      <w:r>
        <w:t xml:space="preserve">19 (1): 79–95.</w:t>
      </w:r>
      <w:r>
        <w:t xml:space="preserve"> </w:t>
      </w:r>
      <w:hyperlink r:id="rId64">
        <w:r>
          <w:rPr>
            <w:rStyle w:val="Hyperlink"/>
          </w:rPr>
          <w:t xml:space="preserve">https://doi.org/10.1177/1350506811426388</w:t>
        </w:r>
      </w:hyperlink>
      <w:r>
        <w:t xml:space="preserve">.</w:t>
      </w:r>
    </w:p>
    <w:bookmarkEnd w:id="65"/>
    <w:bookmarkStart w:id="67"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66">
        <w:r>
          <w:rPr>
            <w:rStyle w:val="Hyperlink"/>
          </w:rPr>
          <w:t xml:space="preserve">https://doi.org/10.1146/annurev-soc-090320-100926</w:t>
        </w:r>
      </w:hyperlink>
      <w:r>
        <w:t xml:space="preserve">.</w:t>
      </w:r>
    </w:p>
    <w:bookmarkEnd w:id="67"/>
    <w:bookmarkStart w:id="69"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68">
        <w:r>
          <w:rPr>
            <w:rStyle w:val="Hyperlink"/>
          </w:rPr>
          <w:t xml:space="preserve">https://doi.org/10.1111/1540-6040.00034</w:t>
        </w:r>
      </w:hyperlink>
      <w:r>
        <w:t xml:space="preserve">.</w:t>
      </w:r>
    </w:p>
    <w:bookmarkEnd w:id="69"/>
    <w:bookmarkStart w:id="7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70"/>
    <w:bookmarkStart w:id="7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71"/>
    <w:bookmarkStart w:id="73"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72">
        <w:r>
          <w:rPr>
            <w:rStyle w:val="Hyperlink"/>
          </w:rPr>
          <w:t xml:space="preserve">https://doi.org/10.1515/9781400850174</w:t>
        </w:r>
      </w:hyperlink>
      <w:r>
        <w:t xml:space="preserve">.</w:t>
      </w:r>
    </w:p>
    <w:bookmarkEnd w:id="73"/>
    <w:bookmarkStart w:id="74"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74"/>
    <w:bookmarkStart w:id="75"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75"/>
    <w:bookmarkStart w:id="77"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76">
        <w:r>
          <w:rPr>
            <w:rStyle w:val="Hyperlink"/>
          </w:rPr>
          <w:t xml:space="preserve">https://doi.org/10.1080/14649360902853262</w:t>
        </w:r>
      </w:hyperlink>
      <w:r>
        <w:t xml:space="preserve">.</w:t>
      </w:r>
    </w:p>
    <w:bookmarkEnd w:id="77"/>
    <w:bookmarkStart w:id="79"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78">
        <w:r>
          <w:rPr>
            <w:rStyle w:val="Hyperlink"/>
          </w:rPr>
          <w:t xml:space="preserve">https://doi.org/10.1007/s13524-012-0177-x</w:t>
        </w:r>
      </w:hyperlink>
      <w:r>
        <w:t xml:space="preserve">.</w:t>
      </w:r>
    </w:p>
    <w:bookmarkEnd w:id="79"/>
    <w:bookmarkStart w:id="81"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80">
        <w:r>
          <w:rPr>
            <w:rStyle w:val="Hyperlink"/>
          </w:rPr>
          <w:t xml:space="preserve">https://doi.org/10.7551/mitpress/3303.001.0001</w:t>
        </w:r>
      </w:hyperlink>
      <w:r>
        <w:t xml:space="preserve">.</w:t>
      </w:r>
    </w:p>
    <w:bookmarkEnd w:id="81"/>
    <w:bookmarkStart w:id="83"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82">
        <w:r>
          <w:rPr>
            <w:rStyle w:val="Hyperlink"/>
          </w:rPr>
          <w:t xml:space="preserve">https://www.jstor.org/stable/271107</w:t>
        </w:r>
      </w:hyperlink>
      <w:r>
        <w:t xml:space="preserve">.</w:t>
      </w:r>
    </w:p>
    <w:bookmarkEnd w:id="83"/>
    <w:bookmarkStart w:id="85"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84">
        <w:r>
          <w:rPr>
            <w:rStyle w:val="Hyperlink"/>
          </w:rPr>
          <w:t xml:space="preserve">https://doi.org/10.1111/j.1540-6040.2010.01353.x</w:t>
        </w:r>
      </w:hyperlink>
      <w:r>
        <w:t xml:space="preserve">.</w:t>
      </w:r>
    </w:p>
    <w:bookmarkEnd w:id="85"/>
    <w:bookmarkStart w:id="86"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86"/>
    <w:bookmarkStart w:id="88"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87">
        <w:r>
          <w:rPr>
            <w:rStyle w:val="Hyperlink"/>
          </w:rPr>
          <w:t xml:space="preserve">https://doi.org/10.1177/01979183231187623</w:t>
        </w:r>
      </w:hyperlink>
      <w:r>
        <w:t xml:space="preserve">.</w:t>
      </w:r>
    </w:p>
    <w:bookmarkEnd w:id="88"/>
    <w:bookmarkStart w:id="90"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89">
        <w:r>
          <w:rPr>
            <w:rStyle w:val="Hyperlink"/>
          </w:rPr>
          <w:t xml:space="preserve">https://doi.org/10.1093/sf/soad108</w:t>
        </w:r>
      </w:hyperlink>
      <w:r>
        <w:t xml:space="preserve">.</w:t>
      </w:r>
    </w:p>
    <w:bookmarkEnd w:id="90"/>
    <w:bookmarkStart w:id="92"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91">
        <w:r>
          <w:rPr>
            <w:rStyle w:val="Hyperlink"/>
          </w:rPr>
          <w:t xml:space="preserve">https://doi.org/10.31235/osf.io/yb6ua</w:t>
        </w:r>
      </w:hyperlink>
      <w:r>
        <w:t xml:space="preserve">.</w:t>
      </w:r>
    </w:p>
    <w:bookmarkEnd w:id="92"/>
    <w:bookmarkStart w:id="94"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93">
        <w:r>
          <w:rPr>
            <w:rStyle w:val="Hyperlink"/>
          </w:rPr>
          <w:t xml:space="preserve">https://doi.org/10.1353/dem.2008.0009</w:t>
        </w:r>
      </w:hyperlink>
      <w:r>
        <w:t xml:space="preserve">.</w:t>
      </w:r>
    </w:p>
    <w:bookmarkEnd w:id="94"/>
    <w:bookmarkStart w:id="96"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Cs/>
          <w:i/>
        </w:rPr>
        <w:t xml:space="preserve">Religions</w:t>
      </w:r>
      <w:r>
        <w:t xml:space="preserve"> </w:t>
      </w:r>
      <w:r>
        <w:t xml:space="preserve">13 (1): 6.</w:t>
      </w:r>
      <w:r>
        <w:t xml:space="preserve"> </w:t>
      </w:r>
      <w:hyperlink r:id="rId95">
        <w:r>
          <w:rPr>
            <w:rStyle w:val="Hyperlink"/>
          </w:rPr>
          <w:t xml:space="preserve">https://doi.org/10.3390/rel13010006</w:t>
        </w:r>
      </w:hyperlink>
      <w:r>
        <w:t xml:space="preserve">.</w:t>
      </w:r>
    </w:p>
    <w:bookmarkEnd w:id="96"/>
    <w:bookmarkStart w:id="98"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97">
        <w:r>
          <w:rPr>
            <w:rStyle w:val="Hyperlink"/>
          </w:rPr>
          <w:t xml:space="preserve">https://doi.org/10.1371/journal.pone.0198751</w:t>
        </w:r>
      </w:hyperlink>
      <w:r>
        <w:t xml:space="preserve">.</w:t>
      </w:r>
    </w:p>
    <w:bookmarkEnd w:id="98"/>
    <w:bookmarkStart w:id="100"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99">
        <w:r>
          <w:rPr>
            <w:rStyle w:val="Hyperlink"/>
          </w:rPr>
          <w:t xml:space="preserve">https://doi.org/10.1080/17450100903195318</w:t>
        </w:r>
      </w:hyperlink>
      <w:r>
        <w:t xml:space="preserve">.</w:t>
      </w:r>
    </w:p>
    <w:bookmarkEnd w:id="100"/>
    <w:bookmarkStart w:id="102"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101">
        <w:r>
          <w:rPr>
            <w:rStyle w:val="Hyperlink"/>
          </w:rPr>
          <w:t xml:space="preserve">https://doi.org/10.1007/s00148-021-00842-5</w:t>
        </w:r>
      </w:hyperlink>
      <w:r>
        <w:t xml:space="preserve">.</w:t>
      </w:r>
    </w:p>
    <w:bookmarkEnd w:id="102"/>
    <w:bookmarkStart w:id="104"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103">
        <w:r>
          <w:rPr>
            <w:rStyle w:val="Hyperlink"/>
          </w:rPr>
          <w:t xml:space="preserve">https://doi.org/10.1177/23780231231222772</w:t>
        </w:r>
      </w:hyperlink>
      <w:r>
        <w:t xml:space="preserve">.</w:t>
      </w:r>
    </w:p>
    <w:bookmarkEnd w:id="104"/>
    <w:bookmarkStart w:id="106"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105">
        <w:r>
          <w:rPr>
            <w:rStyle w:val="Hyperlink"/>
          </w:rPr>
          <w:t xml:space="preserve">https://doi.org/10.1007/s12122-020-09305-4</w:t>
        </w:r>
      </w:hyperlink>
      <w:r>
        <w:t xml:space="preserve">.</w:t>
      </w:r>
    </w:p>
    <w:bookmarkEnd w:id="106"/>
    <w:bookmarkStart w:id="107"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107"/>
    <w:bookmarkStart w:id="108"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108"/>
    <w:bookmarkStart w:id="109"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09"/>
    <w:bookmarkStart w:id="111"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Cs/>
          <w:i/>
        </w:rPr>
        <w:t xml:space="preserve">Journal of Lesbian Studies</w:t>
      </w:r>
      <w:r>
        <w:t xml:space="preserve"> </w:t>
      </w:r>
      <w:r>
        <w:t xml:space="preserve">19 (2): 173–91.</w:t>
      </w:r>
      <w:r>
        <w:t xml:space="preserve"> </w:t>
      </w:r>
      <w:hyperlink r:id="rId110">
        <w:r>
          <w:rPr>
            <w:rStyle w:val="Hyperlink"/>
          </w:rPr>
          <w:t xml:space="preserve">https://doi.org/10.1080/10894160.2015.969594</w:t>
        </w:r>
      </w:hyperlink>
      <w:r>
        <w:t xml:space="preserve">.</w:t>
      </w:r>
    </w:p>
    <w:bookmarkEnd w:id="111"/>
    <w:bookmarkStart w:id="113"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12">
        <w:r>
          <w:rPr>
            <w:rStyle w:val="Hyperlink"/>
          </w:rPr>
          <w:t xml:space="preserve">https://doi.org/10.1111/j.1944-8287.1999.tb00079.x</w:t>
        </w:r>
      </w:hyperlink>
      <w:r>
        <w:t xml:space="preserve">.</w:t>
      </w:r>
    </w:p>
    <w:bookmarkEnd w:id="113"/>
    <w:bookmarkStart w:id="114"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14"/>
    <w:bookmarkStart w:id="115"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15"/>
    <w:bookmarkStart w:id="116"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16"/>
    <w:bookmarkStart w:id="118"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17">
        <w:r>
          <w:rPr>
            <w:rStyle w:val="Hyperlink"/>
          </w:rPr>
          <w:t xml:space="preserve">https://doi.org/10.1353/dem.2005.0025</w:t>
        </w:r>
      </w:hyperlink>
      <w:r>
        <w:t xml:space="preserve">.</w:t>
      </w:r>
    </w:p>
    <w:bookmarkEnd w:id="118"/>
    <w:bookmarkStart w:id="120"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19">
        <w:r>
          <w:rPr>
            <w:rStyle w:val="Hyperlink"/>
          </w:rPr>
          <w:t xml:space="preserve">https://doi.org/10.1007/s11113-013-9280-y</w:t>
        </w:r>
      </w:hyperlink>
      <w:r>
        <w:t xml:space="preserve">.</w:t>
      </w:r>
    </w:p>
    <w:bookmarkEnd w:id="120"/>
    <w:bookmarkStart w:id="122"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21">
        <w:r>
          <w:rPr>
            <w:rStyle w:val="Hyperlink"/>
          </w:rPr>
          <w:t xml:space="preserve">https://doi.org/10.1215/00703370-11482174</w:t>
        </w:r>
      </w:hyperlink>
      <w:r>
        <w:t xml:space="preserve">.</w:t>
      </w:r>
    </w:p>
    <w:bookmarkEnd w:id="122"/>
    <w:bookmarkStart w:id="124"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23">
        <w:r>
          <w:rPr>
            <w:rStyle w:val="Hyperlink"/>
          </w:rPr>
          <w:t xml:space="preserve">https://doi.org/10.1111/soc4.12638</w:t>
        </w:r>
      </w:hyperlink>
      <w:r>
        <w:t xml:space="preserve">.</w:t>
      </w:r>
    </w:p>
    <w:bookmarkEnd w:id="124"/>
    <w:bookmarkStart w:id="125"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25"/>
    <w:bookmarkStart w:id="126"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26"/>
    <w:bookmarkStart w:id="127"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27"/>
    <w:bookmarkStart w:id="129"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28">
        <w:r>
          <w:rPr>
            <w:rStyle w:val="Hyperlink"/>
          </w:rPr>
          <w:t xml:space="preserve">https://doi.org/10.1086/718279</w:t>
        </w:r>
      </w:hyperlink>
      <w:r>
        <w:t xml:space="preserve">.</w:t>
      </w:r>
    </w:p>
    <w:bookmarkEnd w:id="129"/>
    <w:bookmarkStart w:id="131"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30">
        <w:r>
          <w:rPr>
            <w:rStyle w:val="Hyperlink"/>
          </w:rPr>
          <w:t xml:space="preserve">https://doi.org/10.1111/lasr.12239</w:t>
        </w:r>
      </w:hyperlink>
      <w:r>
        <w:t xml:space="preserve">.</w:t>
      </w:r>
    </w:p>
    <w:bookmarkEnd w:id="131"/>
    <w:bookmarkStart w:id="133"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32">
        <w:r>
          <w:rPr>
            <w:rStyle w:val="Hyperlink"/>
          </w:rPr>
          <w:t xml:space="preserve">https://doi.org/10.31235/osf.io/6wx2h</w:t>
        </w:r>
      </w:hyperlink>
      <w:r>
        <w:t xml:space="preserve">.</w:t>
      </w:r>
    </w:p>
    <w:bookmarkEnd w:id="133"/>
    <w:bookmarkStart w:id="135"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34">
        <w:r>
          <w:rPr>
            <w:rStyle w:val="Hyperlink"/>
          </w:rPr>
          <w:t xml:space="preserve">https://doi.org/10.3386/w19626</w:t>
        </w:r>
      </w:hyperlink>
      <w:r>
        <w:t xml:space="preserve">.</w:t>
      </w:r>
    </w:p>
    <w:bookmarkEnd w:id="135"/>
    <w:bookmarkStart w:id="136"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36"/>
    <w:bookmarkStart w:id="137"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37"/>
    <w:bookmarkEnd w:id="138"/>
    <w:p>
      <w:r>
        <w:br w:type="page"/>
      </w:r>
    </w:p>
    <w:bookmarkEnd w:id="139"/>
    <w:bookmarkStart w:id="142" w:name="tables"/>
    <w:p>
      <w:pPr>
        <w:pStyle w:val="Heading1"/>
      </w:pPr>
      <w:r>
        <w:t xml:space="preserve">Tables</w:t>
      </w:r>
    </w:p>
    <w:p>
      <w:pPr>
        <w:pStyle w:val="TableCaption"/>
      </w:pPr>
      <w:bookmarkStart w:id="140" w:name="tab:desc-ind"/>
      <w:bookmarkEnd w:id="140"/>
      <w:r>
        <w:t xml:space="preserve">Table 1:</w:t>
      </w:r>
      <w:r>
        <w:t xml:space="preserve"> </w:t>
      </w:r>
      <w:r>
        <w:t xml:space="preserve">Mean values for individual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30.445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40.037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40.178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0.970</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0.468</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35.994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39.948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41.888</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0.374</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42.585</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0.766</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0.084</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0.102</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0.037</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0.546</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0.454</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p>
      <w:pPr>
        <w:pStyle w:val="TableCaption"/>
      </w:pPr>
      <w:bookmarkStart w:id="141" w:name="tab:desc-geo"/>
      <w:bookmarkEnd w:id="141"/>
      <w:r>
        <w:t xml:space="preserve">Table 2:</w:t>
      </w:r>
      <w:r>
        <w:t xml:space="preserve"> </w:t>
      </w:r>
      <w:r>
        <w:t xml:space="preserve">Mean values for geographic variables for immigrants in different- or same-sex couples, 2008-2022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104"/>
        <w:gridCol w:w="1902"/>
        <w:gridCol w:w="1670"/>
        <w:gridCol w:w="1964"/>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1"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22.73</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r>
      <w:tr>
        <w:trPr>
          <w:trHeight w:val="61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12.75</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16.62</w:t>
            </w:r>
          </w:p>
        </w:tc>
      </w:tr>
      <w:tr>
        <w:trPr>
          <w:trHeight w:val="61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personal income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27.93</w:t>
            </w:r>
          </w:p>
        </w:tc>
      </w:tr>
      <w:tr>
        <w:trPr>
          <w:trHeight w:val="61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own home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62.82</w:t>
            </w:r>
          </w:p>
        </w:tc>
      </w:tr>
      <w:tr>
        <w:trPr>
          <w:trHeight w:val="604"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38.48</w:t>
            </w:r>
          </w:p>
        </w:tc>
      </w:tr>
      <w:tr>
        <w:trPr>
          <w:trHeight w:val="611"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13.47</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100%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12.23</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Individuals under 200% of poverty line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29.77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28.63</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37.29</w:t>
            </w:r>
          </w:p>
        </w:tc>
      </w:tr>
      <w:tr>
        <w:trPr>
          <w:trHeight w:val="611"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2.44</w:t>
            </w:r>
          </w:p>
        </w:tc>
      </w:tr>
      <w:tr>
        <w:trPr>
          <w:trHeight w:val="616"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4,111.50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4,398.7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3,938.43</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rent</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406.61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481.7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363.84</w:t>
            </w:r>
          </w:p>
        </w:tc>
      </w:tr>
      <w:tr>
        <w:trPr>
          <w:trHeight w:val="611"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cost of electricity</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2,181.30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2,237.4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2,200.92</w:t>
            </w:r>
          </w:p>
        </w:tc>
      </w:tr>
      <w:tr>
        <w:trPr>
          <w:trHeight w:val="611"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8,144.18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11,628.1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6,088.93</w:t>
            </w:r>
          </w:p>
        </w:tc>
      </w:tr>
      <w:tr>
        <w:trPr>
          <w:trHeight w:val="611"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w:t>
            </w:r>
          </w:p>
        </w:tc>
      </w:tr>
      <w:tr>
        <w:trPr>
          <w:trHeight w:val="611" w:hRule="auto"/>
        </w:trPr>
        body18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596" w:hRule="auto"/>
        </w:trPr>
        body19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1,575,975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13,284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173,546</w:t>
            </w:r>
          </w:p>
        </w:tc>
      </w:tr>
      <w:tr>
        <w:trPr>
          <w:trHeight w:val="611" w:hRule="auto"/>
        </w:trPr>
        body20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175,419,016</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1,322,217</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16,358,472</w:t>
            </w:r>
          </w:p>
        </w:tc>
      </w:tr>
    </w:tbl>
    <w:p>
      <w:r>
        <w:br w:type="page"/>
      </w:r>
    </w:p>
    <w:bookmarkEnd w:id="142"/>
    <w:bookmarkStart w:id="155" w:name="figures"/>
    <w:p>
      <w:pPr>
        <w:pStyle w:val="Heading1"/>
      </w:pPr>
      <w:r>
        <w:t xml:space="preserve">Figures</w:t>
      </w:r>
    </w:p>
    <w:p>
      <w:pPr>
        <w:pStyle w:val="CaptionedFigure"/>
      </w:pPr>
      <w:r>
        <w:drawing>
          <wp:inline>
            <wp:extent cx="5943600" cy="4754880"/>
            <wp:effectExtent b="0" l="0" r="0" t="0"/>
            <wp:docPr descr="Figure 1: Percentage of cohabiting immigrants in same-sex couples in U.S. states, averaging over ACS survey years 2008 to 2022." title="" id="144" name="Picture"/>
            <a:graphic>
              <a:graphicData uri="http://schemas.openxmlformats.org/drawingml/2006/picture">
                <pic:pic>
                  <pic:nvPicPr>
                    <pic:cNvPr descr="ssimm_geo_files/figure-docx/state-map-1.png" id="145" name="Picture"/>
                    <pic:cNvPicPr>
                      <a:picLocks noChangeArrowheads="1" noChangeAspect="1"/>
                    </pic:cNvPicPr>
                  </pic:nvPicPr>
                  <pic:blipFill>
                    <a:blip r:embed="rId14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46" w:name="fig:state-map"/>
      <w:bookmarkEnd w:id="146"/>
      <w:r>
        <w:t xml:space="preserve">Figure 1: Percentage of cohabiting immigrants in same-sex couples in U.S. states, averaging over ACS survey years 2008 to 2022.</w:t>
      </w:r>
    </w:p>
    <w:p>
      <w:r>
        <w:br w:type="page"/>
      </w:r>
    </w:p>
    <w:p>
      <w:pPr>
        <w:pStyle w:val="SourceCode"/>
      </w:pPr>
      <w:r>
        <w:rPr>
          <w:rStyle w:val="VerbatimChar"/>
        </w:rPr>
        <w:t xml:space="preserve">## Error in UseMethod("mutate"): no applicable method for 'mutate' applied to an object of class "character"</w:t>
      </w:r>
    </w:p>
    <w:p>
      <w:pPr>
        <w:pStyle w:val="CaptionedFigure"/>
      </w:pPr>
      <w:r>
        <w:drawing>
          <wp:inline>
            <wp:extent cx="5943600" cy="4754880"/>
            <wp:effectExtent b="0" l="0" r="0" t="0"/>
            <wp:docPr descr="Figure 2: Individual characteristics over time for immigrants in different- and same-sex couples and non-immigrants in same-sex couples, based on American Community Survey data for 2008-2022. Estimates incorporate sampling weights." title="" id="148" name="Picture"/>
            <a:graphic>
              <a:graphicData uri="http://schemas.openxmlformats.org/drawingml/2006/picture">
                <pic:pic>
                  <pic:nvPicPr>
                    <pic:cNvPr descr="ssimm_geo_files/figure-docx/desc-ind-figures-1.png" id="149" name="Picture"/>
                    <pic:cNvPicPr>
                      <a:picLocks noChangeArrowheads="1" noChangeAspect="1"/>
                    </pic:cNvPicPr>
                  </pic:nvPicPr>
                  <pic:blipFill>
                    <a:blip r:embed="rId14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50" w:name="fig:desc-ind-figures"/>
      <w:bookmarkEnd w:id="150"/>
      <w:r>
        <w:t xml:space="preserve">Figure 2: Individual characteristics over time for immigrants in different- and same-sex couples and non-immigrants in same-sex couples, based on American Community Survey data for 2008-2022. Estimates incorporate sampling weights.</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22. Estimates incorporate sampling weights." title="" id="152" name="Picture"/>
            <a:graphic>
              <a:graphicData uri="http://schemas.openxmlformats.org/drawingml/2006/picture">
                <pic:pic>
                  <pic:nvPicPr>
                    <pic:cNvPr descr="ssimm_geo_files/figure-docx/desc-geo-figures-1.png" id="153" name="Picture"/>
                    <pic:cNvPicPr>
                      <a:picLocks noChangeArrowheads="1" noChangeAspect="1"/>
                    </pic:cNvPicPr>
                  </pic:nvPicPr>
                  <pic:blipFill>
                    <a:blip r:embed="rId151"/>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54" w:name="fig:desc-geo-figures"/>
      <w:bookmarkEnd w:id="154"/>
      <w:r>
        <w:t xml:space="preserve">Figure 3: Geographic characteristics over time for immigrants in different- and same-sex couples and non-immigrants in same-sex couples, based on American Community Survey data for 2008-2022. Estimates incorporate sampling weights.</w:t>
      </w:r>
    </w:p>
    <w:p>
      <w:r>
        <w:br w:type="page"/>
      </w:r>
    </w:p>
    <w:bookmarkEnd w:id="155"/>
    <w:bookmarkStart w:id="156" w:name="appendix"/>
    <w:p>
      <w:pPr>
        <w:pStyle w:val="Heading1"/>
      </w:pPr>
      <w:r>
        <w:t xml:space="preserve">Appendix</w:t>
      </w:r>
    </w:p>
    <w:bookmarkEnd w:id="156"/>
    <w:bookmarkStart w:id="161" w:name="appendix-1"/>
    <w:p>
      <w:pPr>
        <w:pStyle w:val="Heading1"/>
      </w:pPr>
      <w:r>
        <w:t xml:space="preserve">Appendix</w:t>
      </w:r>
    </w:p>
    <w:p>
      <w:pPr>
        <w:pStyle w:val="CaptionedFigure"/>
      </w:pPr>
      <w:r>
        <w:drawing>
          <wp:inline>
            <wp:extent cx="5943600" cy="4754880"/>
            <wp:effectExtent b="0" l="0" r="0" t="0"/>
            <wp:docPr descr="Figure 4: Percentage of migrants in same-sex couples in each state consisting of particular subgroups, from ACS estimates that incorporate sampling weights (2008-2019 and 2021-2022)." title="" id="158" name="Picture"/>
            <a:graphic>
              <a:graphicData uri="http://schemas.openxmlformats.org/drawingml/2006/picture">
                <pic:pic>
                  <pic:nvPicPr>
                    <pic:cNvPr descr="ssimm_geo_files/figure-docx/subgroups-1.png" id="159" name="Picture"/>
                    <pic:cNvPicPr>
                      <a:picLocks noChangeArrowheads="1" noChangeAspect="1"/>
                    </pic:cNvPicPr>
                  </pic:nvPicPr>
                  <pic:blipFill>
                    <a:blip r:embed="rId15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60" w:name="fig:subgroups"/>
      <w:bookmarkEnd w:id="160"/>
      <w:r>
        <w:t xml:space="preserve">Figure 4: Percentage of migrants in same-sex couples in each state consisting of particular subgroups, from ACS estimates that incorporate sampling weights (2008-2019 and 2021-2022).</w:t>
      </w:r>
    </w:p>
    <w:bookmarkEnd w:id="161"/>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hyperlink r:id="rId26">
        <w:r>
          <w:rPr>
            <w:rStyle w:val="Hyperlink"/>
          </w:rPr>
          <w:t xml:space="preserve">https://www.lgbtmap.org/</w:t>
        </w:r>
      </w:hyperlink>
    </w:p>
  </w:footnote>
  <w:footnote w:id="28">
    <w:p>
      <w:pPr>
        <w:pStyle w:val="FootnoteText"/>
      </w:pPr>
      <w:r>
        <w:rPr>
          <w:rStyle w:val="FootnoteReference"/>
        </w:rPr>
        <w:footnoteRef/>
      </w:r>
      <w:r>
        <w:t xml:space="preserve"> </w:t>
      </w:r>
      <w:r>
        <w:t xml:space="preserve">Note that we are constrained in reporting sex and gender by the questions asked in the ACS, which include only a binary option for sex and no question about gender.</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51" Target="media/rId151.png" /><Relationship Type="http://schemas.openxmlformats.org/officeDocument/2006/relationships/image" Id="rId147" Target="media/rId147.png" /><Relationship Type="http://schemas.openxmlformats.org/officeDocument/2006/relationships/image" Id="rId143" Target="media/rId143.png" /><Relationship Type="http://schemas.openxmlformats.org/officeDocument/2006/relationships/image" Id="rId157" Target="media/rId157.png" /><Relationship Type="http://schemas.openxmlformats.org/officeDocument/2006/relationships/hyperlink" Id="rId43"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101" Target="https://doi.org/10.1007/s00148-021-00842-5" TargetMode="External" /><Relationship Type="http://schemas.openxmlformats.org/officeDocument/2006/relationships/hyperlink" Id="rId119"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105" Target="https://doi.org/10.1007/s12122-020-09305-4" TargetMode="External" /><Relationship Type="http://schemas.openxmlformats.org/officeDocument/2006/relationships/hyperlink" Id="rId78" Target="https://doi.org/10.1007/s13524-012-0177-x" TargetMode="External" /><Relationship Type="http://schemas.openxmlformats.org/officeDocument/2006/relationships/hyperlink" Id="rId55" Target="https://doi.org/10.1016/j.geoforum.2015.11.007" TargetMode="External" /><Relationship Type="http://schemas.openxmlformats.org/officeDocument/2006/relationships/hyperlink" Id="rId110" Target="https://doi.org/10.1080/10894160.2015.969594" TargetMode="External" /><Relationship Type="http://schemas.openxmlformats.org/officeDocument/2006/relationships/hyperlink" Id="rId49" Target="https://doi.org/10.1080/1387698042000273479" TargetMode="External" /><Relationship Type="http://schemas.openxmlformats.org/officeDocument/2006/relationships/hyperlink" Id="rId76" Target="https://doi.org/10.1080/14649360902853262" TargetMode="External" /><Relationship Type="http://schemas.openxmlformats.org/officeDocument/2006/relationships/hyperlink" Id="rId99" Target="https://doi.org/10.1080/17450100903195318" TargetMode="External" /><Relationship Type="http://schemas.openxmlformats.org/officeDocument/2006/relationships/hyperlink" Id="rId128" Target="https://doi.org/10.1086/718279" TargetMode="External" /><Relationship Type="http://schemas.openxmlformats.org/officeDocument/2006/relationships/hyperlink" Id="rId89" Target="https://doi.org/10.1093/sf/soad108" TargetMode="External" /><Relationship Type="http://schemas.openxmlformats.org/officeDocument/2006/relationships/hyperlink" Id="rId68" Target="https://doi.org/10.1111/1540-6040.00034" TargetMode="External" /><Relationship Type="http://schemas.openxmlformats.org/officeDocument/2006/relationships/hyperlink" Id="rId40" Target="https://doi.org/10.1111/gec3.12151" TargetMode="External" /><Relationship Type="http://schemas.openxmlformats.org/officeDocument/2006/relationships/hyperlink" Id="rId84" Target="https://doi.org/10.1111/j.1540-6040.2010.01353.x" TargetMode="External" /><Relationship Type="http://schemas.openxmlformats.org/officeDocument/2006/relationships/hyperlink" Id="rId46" Target="https://doi.org/10.1111/j.1749-8198.2008.00127.x" TargetMode="External" /><Relationship Type="http://schemas.openxmlformats.org/officeDocument/2006/relationships/hyperlink" Id="rId112" Target="https://doi.org/10.1111/j.1944-8287.1999.tb00079.x" TargetMode="External" /><Relationship Type="http://schemas.openxmlformats.org/officeDocument/2006/relationships/hyperlink" Id="rId53" Target="https://doi.org/10.1111/kykl.12206" TargetMode="External" /><Relationship Type="http://schemas.openxmlformats.org/officeDocument/2006/relationships/hyperlink" Id="rId130" Target="https://doi.org/10.1111/lasr.12239" TargetMode="External" /><Relationship Type="http://schemas.openxmlformats.org/officeDocument/2006/relationships/hyperlink" Id="rId123" Target="https://doi.org/10.1111/soc4.12638" TargetMode="External" /><Relationship Type="http://schemas.openxmlformats.org/officeDocument/2006/relationships/hyperlink" Id="rId66" Target="https://doi.org/10.1146/annurev-soc-090320-100926" TargetMode="External" /><Relationship Type="http://schemas.openxmlformats.org/officeDocument/2006/relationships/hyperlink" Id="rId59" Target="https://doi.org/10.1177/0002716219857667" TargetMode="External" /><Relationship Type="http://schemas.openxmlformats.org/officeDocument/2006/relationships/hyperlink" Id="rId57" Target="https://doi.org/10.1177/0011392119850231" TargetMode="External" /><Relationship Type="http://schemas.openxmlformats.org/officeDocument/2006/relationships/hyperlink" Id="rId51" Target="https://doi.org/10.1177/00380385211073237" TargetMode="External" /><Relationship Type="http://schemas.openxmlformats.org/officeDocument/2006/relationships/hyperlink" Id="rId87" Target="https://doi.org/10.1177/01979183231187623" TargetMode="External" /><Relationship Type="http://schemas.openxmlformats.org/officeDocument/2006/relationships/hyperlink" Id="rId64" Target="https://doi.org/10.1177/1350506811426388" TargetMode="External" /><Relationship Type="http://schemas.openxmlformats.org/officeDocument/2006/relationships/hyperlink" Id="rId103" Target="https://doi.org/10.1177/23780231231222772" TargetMode="External" /><Relationship Type="http://schemas.openxmlformats.org/officeDocument/2006/relationships/hyperlink" Id="rId121" Target="https://doi.org/10.1215/00703370-11482174" TargetMode="External" /><Relationship Type="http://schemas.openxmlformats.org/officeDocument/2006/relationships/hyperlink" Id="rId117" Target="https://doi.org/10.1353/dem.2005.0025" TargetMode="External" /><Relationship Type="http://schemas.openxmlformats.org/officeDocument/2006/relationships/hyperlink" Id="rId93" Target="https://doi.org/10.1353/dem.2008.0009" TargetMode="External" /><Relationship Type="http://schemas.openxmlformats.org/officeDocument/2006/relationships/hyperlink" Id="rId97" Target="https://doi.org/10.1371/journal.pone.0198751" TargetMode="External" /><Relationship Type="http://schemas.openxmlformats.org/officeDocument/2006/relationships/hyperlink" Id="rId72" Target="https://doi.org/10.1515/9781400850174" TargetMode="External" /><Relationship Type="http://schemas.openxmlformats.org/officeDocument/2006/relationships/hyperlink" Id="rId132" Target="https://doi.org/10.31235/osf.io/6wx2h" TargetMode="External" /><Relationship Type="http://schemas.openxmlformats.org/officeDocument/2006/relationships/hyperlink" Id="rId91" Target="https://doi.org/10.31235/osf.io/yb6ua" TargetMode="External" /><Relationship Type="http://schemas.openxmlformats.org/officeDocument/2006/relationships/hyperlink" Id="rId134" Target="https://doi.org/10.3386/w19626" TargetMode="External" /><Relationship Type="http://schemas.openxmlformats.org/officeDocument/2006/relationships/hyperlink" Id="rId95" Target="https://doi.org/10.3390/rel13010006" TargetMode="External" /><Relationship Type="http://schemas.openxmlformats.org/officeDocument/2006/relationships/hyperlink" Id="rId80" Target="https://doi.org/10.7551/mitpress/3303.001.0001" TargetMode="External" /><Relationship Type="http://schemas.openxmlformats.org/officeDocument/2006/relationships/hyperlink" Id="rId82" Target="https://www.jstor.org/stable/271107" TargetMode="External" /><Relationship Type="http://schemas.openxmlformats.org/officeDocument/2006/relationships/hyperlink" Id="rId61" Target="https://www.jstor.org/stable/42864364" TargetMode="External" /><Relationship Type="http://schemas.openxmlformats.org/officeDocument/2006/relationships/hyperlink" Id="rId26"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3" Target="https://doi.org/10.1006/juec.2001.2237" TargetMode="External" /><Relationship Type="http://schemas.openxmlformats.org/officeDocument/2006/relationships/hyperlink" Id="rId36" Target="https://doi.org/10.1007/978-3-030-10910-3_11" TargetMode="External" /><Relationship Type="http://schemas.openxmlformats.org/officeDocument/2006/relationships/hyperlink" Id="rId33" Target="https://doi.org/10.1007/978-94-007-5512-3" TargetMode="External" /><Relationship Type="http://schemas.openxmlformats.org/officeDocument/2006/relationships/hyperlink" Id="rId101" Target="https://doi.org/10.1007/s00148-021-00842-5" TargetMode="External" /><Relationship Type="http://schemas.openxmlformats.org/officeDocument/2006/relationships/hyperlink" Id="rId119" Target="https://doi.org/10.1007/s11113-013-9280-y" TargetMode="External" /><Relationship Type="http://schemas.openxmlformats.org/officeDocument/2006/relationships/hyperlink" Id="rId38" Target="https://doi.org/10.1007/s11113-023-09842-7" TargetMode="External" /><Relationship Type="http://schemas.openxmlformats.org/officeDocument/2006/relationships/hyperlink" Id="rId105" Target="https://doi.org/10.1007/s12122-020-09305-4" TargetMode="External" /><Relationship Type="http://schemas.openxmlformats.org/officeDocument/2006/relationships/hyperlink" Id="rId78" Target="https://doi.org/10.1007/s13524-012-0177-x" TargetMode="External" /><Relationship Type="http://schemas.openxmlformats.org/officeDocument/2006/relationships/hyperlink" Id="rId55" Target="https://doi.org/10.1016/j.geoforum.2015.11.007" TargetMode="External" /><Relationship Type="http://schemas.openxmlformats.org/officeDocument/2006/relationships/hyperlink" Id="rId110" Target="https://doi.org/10.1080/10894160.2015.969594" TargetMode="External" /><Relationship Type="http://schemas.openxmlformats.org/officeDocument/2006/relationships/hyperlink" Id="rId49" Target="https://doi.org/10.1080/1387698042000273479" TargetMode="External" /><Relationship Type="http://schemas.openxmlformats.org/officeDocument/2006/relationships/hyperlink" Id="rId76" Target="https://doi.org/10.1080/14649360902853262" TargetMode="External" /><Relationship Type="http://schemas.openxmlformats.org/officeDocument/2006/relationships/hyperlink" Id="rId99" Target="https://doi.org/10.1080/17450100903195318" TargetMode="External" /><Relationship Type="http://schemas.openxmlformats.org/officeDocument/2006/relationships/hyperlink" Id="rId128" Target="https://doi.org/10.1086/718279" TargetMode="External" /><Relationship Type="http://schemas.openxmlformats.org/officeDocument/2006/relationships/hyperlink" Id="rId89" Target="https://doi.org/10.1093/sf/soad108" TargetMode="External" /><Relationship Type="http://schemas.openxmlformats.org/officeDocument/2006/relationships/hyperlink" Id="rId68" Target="https://doi.org/10.1111/1540-6040.00034" TargetMode="External" /><Relationship Type="http://schemas.openxmlformats.org/officeDocument/2006/relationships/hyperlink" Id="rId40" Target="https://doi.org/10.1111/gec3.12151" TargetMode="External" /><Relationship Type="http://schemas.openxmlformats.org/officeDocument/2006/relationships/hyperlink" Id="rId84" Target="https://doi.org/10.1111/j.1540-6040.2010.01353.x" TargetMode="External" /><Relationship Type="http://schemas.openxmlformats.org/officeDocument/2006/relationships/hyperlink" Id="rId46" Target="https://doi.org/10.1111/j.1749-8198.2008.00127.x" TargetMode="External" /><Relationship Type="http://schemas.openxmlformats.org/officeDocument/2006/relationships/hyperlink" Id="rId112" Target="https://doi.org/10.1111/j.1944-8287.1999.tb00079.x" TargetMode="External" /><Relationship Type="http://schemas.openxmlformats.org/officeDocument/2006/relationships/hyperlink" Id="rId53" Target="https://doi.org/10.1111/kykl.12206" TargetMode="External" /><Relationship Type="http://schemas.openxmlformats.org/officeDocument/2006/relationships/hyperlink" Id="rId130" Target="https://doi.org/10.1111/lasr.12239" TargetMode="External" /><Relationship Type="http://schemas.openxmlformats.org/officeDocument/2006/relationships/hyperlink" Id="rId123" Target="https://doi.org/10.1111/soc4.12638" TargetMode="External" /><Relationship Type="http://schemas.openxmlformats.org/officeDocument/2006/relationships/hyperlink" Id="rId66" Target="https://doi.org/10.1146/annurev-soc-090320-100926" TargetMode="External" /><Relationship Type="http://schemas.openxmlformats.org/officeDocument/2006/relationships/hyperlink" Id="rId59" Target="https://doi.org/10.1177/0002716219857667" TargetMode="External" /><Relationship Type="http://schemas.openxmlformats.org/officeDocument/2006/relationships/hyperlink" Id="rId57" Target="https://doi.org/10.1177/0011392119850231" TargetMode="External" /><Relationship Type="http://schemas.openxmlformats.org/officeDocument/2006/relationships/hyperlink" Id="rId51" Target="https://doi.org/10.1177/00380385211073237" TargetMode="External" /><Relationship Type="http://schemas.openxmlformats.org/officeDocument/2006/relationships/hyperlink" Id="rId87" Target="https://doi.org/10.1177/01979183231187623" TargetMode="External" /><Relationship Type="http://schemas.openxmlformats.org/officeDocument/2006/relationships/hyperlink" Id="rId64" Target="https://doi.org/10.1177/1350506811426388" TargetMode="External" /><Relationship Type="http://schemas.openxmlformats.org/officeDocument/2006/relationships/hyperlink" Id="rId103" Target="https://doi.org/10.1177/23780231231222772" TargetMode="External" /><Relationship Type="http://schemas.openxmlformats.org/officeDocument/2006/relationships/hyperlink" Id="rId121" Target="https://doi.org/10.1215/00703370-11482174" TargetMode="External" /><Relationship Type="http://schemas.openxmlformats.org/officeDocument/2006/relationships/hyperlink" Id="rId117" Target="https://doi.org/10.1353/dem.2005.0025" TargetMode="External" /><Relationship Type="http://schemas.openxmlformats.org/officeDocument/2006/relationships/hyperlink" Id="rId93" Target="https://doi.org/10.1353/dem.2008.0009" TargetMode="External" /><Relationship Type="http://schemas.openxmlformats.org/officeDocument/2006/relationships/hyperlink" Id="rId97" Target="https://doi.org/10.1371/journal.pone.0198751" TargetMode="External" /><Relationship Type="http://schemas.openxmlformats.org/officeDocument/2006/relationships/hyperlink" Id="rId72" Target="https://doi.org/10.1515/9781400850174" TargetMode="External" /><Relationship Type="http://schemas.openxmlformats.org/officeDocument/2006/relationships/hyperlink" Id="rId132" Target="https://doi.org/10.31235/osf.io/6wx2h" TargetMode="External" /><Relationship Type="http://schemas.openxmlformats.org/officeDocument/2006/relationships/hyperlink" Id="rId91" Target="https://doi.org/10.31235/osf.io/yb6ua" TargetMode="External" /><Relationship Type="http://schemas.openxmlformats.org/officeDocument/2006/relationships/hyperlink" Id="rId134" Target="https://doi.org/10.3386/w19626" TargetMode="External" /><Relationship Type="http://schemas.openxmlformats.org/officeDocument/2006/relationships/hyperlink" Id="rId95" Target="https://doi.org/10.3390/rel13010006" TargetMode="External" /><Relationship Type="http://schemas.openxmlformats.org/officeDocument/2006/relationships/hyperlink" Id="rId80" Target="https://doi.org/10.7551/mitpress/3303.001.0001" TargetMode="External" /><Relationship Type="http://schemas.openxmlformats.org/officeDocument/2006/relationships/hyperlink" Id="rId82" Target="https://www.jstor.org/stable/271107" TargetMode="External" /><Relationship Type="http://schemas.openxmlformats.org/officeDocument/2006/relationships/hyperlink" Id="rId61" Target="https://www.jstor.org/stable/42864364" TargetMode="External" /><Relationship Type="http://schemas.openxmlformats.org/officeDocument/2006/relationships/hyperlink" Id="rId26"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2025-02-10T22:04:27Z</dcterms:created>
  <dcterms:modified xsi:type="dcterms:W3CDTF">2025-02-10T22:04:27Z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LGBTQ+ immigrants settle in the United States? The policy landscape for same-sex couples in the U.S. has changed rapidly in recent years, with immigrants being particularly affected. After the 2013 end of the Defense of Marriage Act, U.S. citizens could finally sponsor the visa of a same-sex partner, and number of immigrants in same-sex couples increased rapidly. But little is known about where these lesbian, gay, and bisexual (LGB) immigrants choose to settle and enjoy their new rights. Do they behave more similarly to their straight immigrant counterparts and locate based on job opportunities and cost of living? Or do they gravitate toward more LGBTQ+-friendly cities and states, as U.S.-born LGB people do? How have these patterns changed over time, especially in response to local policy changes relevant to LGBTQ+ people and immigrants? Using American Community Survey data from 2008-2022 and original datasets, this paper implements descriptive analyses and quasi-Poisson models to study how settlement patterns of immigrants in same-sex couples in the U.S. respond to local and national policy changes as well as other local sociodemographic and economic factors. We find that the distribution of immigrants in same-sex couples is expanding across the U.S. over time. These settlement patterns generally look more similar to fellow U.S.-born LGB Americans: locations with higher concentrations are more progressive, have more robust LGBTQ+ civic life, and have higher incomes. Yet immigrants in same-sex couples also live in more racially and ethnically diverse areas compared to U.S.-born Americans in same-sex couples. Our findings contribute to a fuller understanding of this rapidly growing population and under which conditions they may behave more similarly to their fellow migrants, their fellow sexual minorities, or as a distinct population all their own.xx</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February 10,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